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EE" w:rsidRPr="000142F3" w:rsidRDefault="00FE70EE" w:rsidP="00FE70E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RESUMEN</w:t>
      </w:r>
    </w:p>
    <w:p w:rsidR="00FE70EE" w:rsidRPr="00E87223" w:rsidRDefault="00FE70EE" w:rsidP="00FE70EE">
      <w:pPr>
        <w:spacing w:before="120" w:after="120" w:line="360" w:lineRule="auto"/>
        <w:ind w:firstLine="567"/>
        <w:jc w:val="both"/>
        <w:rPr>
          <w:sz w:val="24"/>
        </w:rPr>
      </w:pPr>
      <w:r w:rsidRPr="00E87223">
        <w:rPr>
          <w:sz w:val="24"/>
        </w:rPr>
        <w:t>El incremento de la población y la escasez de recursos hídricos naturales debido a la escasa pluviometría irregularmente distribuida en el tiempo, como es el caso de las regiones mediterráneas, hacen</w:t>
      </w:r>
      <w:r>
        <w:rPr>
          <w:sz w:val="24"/>
        </w:rPr>
        <w:t xml:space="preserve"> necesaria</w:t>
      </w:r>
      <w:r w:rsidRPr="00E87223">
        <w:rPr>
          <w:sz w:val="24"/>
        </w:rPr>
        <w:t xml:space="preserve"> la reutilización de las aguas residuales. Antes de ser tratadas, estas aguas contienen materia orgánica</w:t>
      </w:r>
      <w:r>
        <w:rPr>
          <w:sz w:val="24"/>
        </w:rPr>
        <w:t xml:space="preserve"> que</w:t>
      </w:r>
      <w:r w:rsidRPr="00E87223">
        <w:rPr>
          <w:sz w:val="24"/>
        </w:rPr>
        <w:t xml:space="preserve"> ofrece un sustrato idóneo para el desarrollo de toda clase de microorganismos, muchos de los cuales son patógenos.</w:t>
      </w:r>
    </w:p>
    <w:p w:rsidR="00FE70EE" w:rsidRDefault="00FE70EE" w:rsidP="00FE70EE">
      <w:pPr>
        <w:spacing w:before="120" w:after="120" w:line="360" w:lineRule="auto"/>
        <w:ind w:firstLine="567"/>
        <w:jc w:val="both"/>
        <w:rPr>
          <w:sz w:val="24"/>
        </w:rPr>
      </w:pPr>
      <w:r w:rsidRPr="00E87223">
        <w:rPr>
          <w:sz w:val="24"/>
        </w:rPr>
        <w:t xml:space="preserve">Por otra parte, el agua potable se obtiene a partir de agua natural o cruda captada en ríos, lagunas, pozos, manantiales o pantanos, las cuales </w:t>
      </w:r>
      <w:r>
        <w:rPr>
          <w:sz w:val="24"/>
        </w:rPr>
        <w:t xml:space="preserve">también </w:t>
      </w:r>
      <w:r w:rsidRPr="00E87223">
        <w:rPr>
          <w:sz w:val="24"/>
        </w:rPr>
        <w:t>pueden contener microorganismos patógenos. Debido a esto, es de suma importancia realizar un correcto tratamiento de est</w:t>
      </w:r>
      <w:r>
        <w:rPr>
          <w:sz w:val="24"/>
        </w:rPr>
        <w:t>a</w:t>
      </w:r>
      <w:r w:rsidRPr="00E87223">
        <w:rPr>
          <w:sz w:val="24"/>
        </w:rPr>
        <w:t xml:space="preserve"> agua para evitar </w:t>
      </w:r>
      <w:r>
        <w:rPr>
          <w:sz w:val="24"/>
        </w:rPr>
        <w:t>la transmisión de enfermedades.</w:t>
      </w:r>
    </w:p>
    <w:p w:rsidR="00FE70EE" w:rsidRDefault="00FE70EE" w:rsidP="00FE70EE">
      <w:pPr>
        <w:spacing w:before="120" w:after="120" w:line="360" w:lineRule="auto"/>
        <w:ind w:firstLine="567"/>
        <w:jc w:val="both"/>
        <w:rPr>
          <w:sz w:val="24"/>
        </w:rPr>
      </w:pPr>
      <w:r w:rsidRPr="002E1BE3">
        <w:rPr>
          <w:sz w:val="24"/>
        </w:rPr>
        <w:t xml:space="preserve">De entre todos los patógenos emergentes en aguas, </w:t>
      </w:r>
      <w:r w:rsidRPr="002E1BE3">
        <w:rPr>
          <w:i/>
          <w:sz w:val="24"/>
        </w:rPr>
        <w:t>H. pylori</w:t>
      </w:r>
      <w:r w:rsidRPr="002E1BE3">
        <w:rPr>
          <w:sz w:val="24"/>
        </w:rPr>
        <w:t xml:space="preserve"> </w:t>
      </w:r>
      <w:r>
        <w:rPr>
          <w:sz w:val="24"/>
        </w:rPr>
        <w:t>es uno de los que mayor interés despierta en estos momentos, ya que su epidemiología aún no está clara.</w:t>
      </w:r>
    </w:p>
    <w:p w:rsidR="00FE70EE" w:rsidRDefault="00FE70EE" w:rsidP="00FE70EE">
      <w:pPr>
        <w:spacing w:before="120" w:after="120"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La infección por </w:t>
      </w:r>
      <w:r>
        <w:rPr>
          <w:i/>
          <w:sz w:val="24"/>
        </w:rPr>
        <w:t>H. pylori</w:t>
      </w:r>
      <w:r>
        <w:rPr>
          <w:sz w:val="24"/>
        </w:rPr>
        <w:t xml:space="preserve"> </w:t>
      </w:r>
      <w:r w:rsidRPr="00431A9F">
        <w:rPr>
          <w:sz w:val="24"/>
        </w:rPr>
        <w:t xml:space="preserve">puede conducir al desarrollo de </w:t>
      </w:r>
      <w:r>
        <w:rPr>
          <w:sz w:val="24"/>
        </w:rPr>
        <w:t xml:space="preserve">gastritis crónica, úlcera péptica y </w:t>
      </w:r>
      <w:r w:rsidRPr="00431A9F">
        <w:rPr>
          <w:sz w:val="24"/>
        </w:rPr>
        <w:t>cáncer gástrico</w:t>
      </w:r>
      <w:r>
        <w:rPr>
          <w:sz w:val="24"/>
        </w:rPr>
        <w:t xml:space="preserve">. De hecho, la bacteria está clasificada como agente biológico carcinógeno para el ser humano de categoría 1. Se ha sugerido que </w:t>
      </w:r>
      <w:r>
        <w:rPr>
          <w:i/>
          <w:sz w:val="24"/>
        </w:rPr>
        <w:t>H. pylori</w:t>
      </w:r>
      <w:r>
        <w:rPr>
          <w:sz w:val="24"/>
        </w:rPr>
        <w:t xml:space="preserve"> puede ser adquirida mediante diferentes vías de transmisión, entre las que destaca el agua.</w:t>
      </w:r>
    </w:p>
    <w:p w:rsidR="00FE70EE" w:rsidRDefault="00FE70EE" w:rsidP="00FE70EE">
      <w:pPr>
        <w:spacing w:before="120" w:after="120"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Por otra parte, las FLA son un grupo heterogéneo de protozoos ubicuos que, además de contener especies patógenas, pueden actuar como “Caballos de Troya” para bacterias resistentes a las amebas (ARB). De esta forma, las ARB pasarían desapercibidas frente a la primera línea de defensa de un organismo. La interacción </w:t>
      </w:r>
      <w:r>
        <w:rPr>
          <w:i/>
          <w:sz w:val="24"/>
        </w:rPr>
        <w:t>H. pylori-</w:t>
      </w:r>
      <w:r>
        <w:rPr>
          <w:sz w:val="24"/>
        </w:rPr>
        <w:t xml:space="preserve">FLA ha sido demostrada en dos procesos </w:t>
      </w:r>
      <w:r>
        <w:rPr>
          <w:i/>
          <w:sz w:val="24"/>
        </w:rPr>
        <w:t>in vitro,</w:t>
      </w:r>
      <w:r>
        <w:rPr>
          <w:sz w:val="24"/>
        </w:rPr>
        <w:t xml:space="preserve"> aunque la viabilidad de la bacteria no se ha demostrado tras el proceso.</w:t>
      </w:r>
    </w:p>
    <w:p w:rsidR="00FE70EE" w:rsidRDefault="00FE70EE" w:rsidP="00FE70EE">
      <w:pPr>
        <w:spacing w:before="120" w:after="120" w:line="360" w:lineRule="auto"/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>Por tanto, en esta Tesis se estudia</w:t>
      </w:r>
      <w:r w:rsidRPr="00446D55">
        <w:rPr>
          <w:rFonts w:cstheme="minorHAnsi"/>
          <w:color w:val="000000"/>
          <w:sz w:val="24"/>
          <w:szCs w:val="24"/>
          <w:shd w:val="clear" w:color="auto" w:fill="FFFFFF"/>
        </w:rPr>
        <w:t xml:space="preserve"> el posible papel de las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FLA</w:t>
      </w:r>
      <w:r w:rsidRPr="00446D55">
        <w:rPr>
          <w:rFonts w:cstheme="minorHAnsi"/>
          <w:color w:val="000000"/>
          <w:sz w:val="24"/>
          <w:szCs w:val="24"/>
          <w:shd w:val="clear" w:color="auto" w:fill="FFFFFF"/>
        </w:rPr>
        <w:t xml:space="preserve"> como reservorio de </w:t>
      </w:r>
      <w:r w:rsidRPr="00446D55">
        <w:rPr>
          <w:rFonts w:cstheme="minorHAnsi"/>
          <w:i/>
          <w:color w:val="000000"/>
          <w:sz w:val="24"/>
          <w:szCs w:val="24"/>
          <w:shd w:val="clear" w:color="auto" w:fill="FFFFFF"/>
        </w:rPr>
        <w:t>H</w:t>
      </w:r>
      <w:r>
        <w:rPr>
          <w:rFonts w:cstheme="minorHAnsi"/>
          <w:i/>
          <w:color w:val="000000"/>
          <w:sz w:val="24"/>
          <w:szCs w:val="24"/>
          <w:shd w:val="clear" w:color="auto" w:fill="FFFFFF"/>
        </w:rPr>
        <w:t>.</w:t>
      </w:r>
      <w:r w:rsidRPr="00446D55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pylori</w:t>
      </w:r>
      <w:r w:rsidRPr="00446D5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y otras bacterias patógenas </w:t>
      </w:r>
      <w:r w:rsidRPr="00446D55">
        <w:rPr>
          <w:rFonts w:cstheme="minorHAnsi"/>
          <w:color w:val="000000"/>
          <w:sz w:val="24"/>
          <w:szCs w:val="24"/>
          <w:shd w:val="clear" w:color="auto" w:fill="FFFFFF"/>
        </w:rPr>
        <w:t>en aguas y alimentos mediante técnicas moleculares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FE70EE" w:rsidRDefault="00FE70EE" w:rsidP="00FE70EE">
      <w:pPr>
        <w:spacing w:before="120" w:after="120"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En primer lugar se realizó un ensayo de </w:t>
      </w:r>
      <w:proofErr w:type="spellStart"/>
      <w:r>
        <w:rPr>
          <w:sz w:val="24"/>
        </w:rPr>
        <w:t>cocultivo</w:t>
      </w:r>
      <w:proofErr w:type="spellEnd"/>
      <w:r>
        <w:rPr>
          <w:sz w:val="24"/>
        </w:rPr>
        <w:t xml:space="preserve"> entre la bacteria </w:t>
      </w:r>
      <w:r>
        <w:rPr>
          <w:i/>
          <w:sz w:val="24"/>
        </w:rPr>
        <w:t>H. pylori</w:t>
      </w:r>
      <w:r>
        <w:rPr>
          <w:sz w:val="24"/>
        </w:rPr>
        <w:t xml:space="preserve"> y la ameba </w:t>
      </w:r>
      <w:proofErr w:type="spellStart"/>
      <w:r>
        <w:rPr>
          <w:i/>
          <w:sz w:val="24"/>
        </w:rPr>
        <w:t>Acanthamoeba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castellanii</w:t>
      </w:r>
      <w:proofErr w:type="spellEnd"/>
      <w:r>
        <w:rPr>
          <w:sz w:val="24"/>
        </w:rPr>
        <w:t xml:space="preserve">. Se comprobó mediante técnicas moleculares </w:t>
      </w:r>
      <w:r w:rsidRPr="00431236">
        <w:rPr>
          <w:sz w:val="24"/>
        </w:rPr>
        <w:t>específicas para la detección de células viables, PMA</w:t>
      </w:r>
      <w:r>
        <w:rPr>
          <w:sz w:val="24"/>
        </w:rPr>
        <w:t>-</w:t>
      </w:r>
      <w:proofErr w:type="spellStart"/>
      <w:r>
        <w:rPr>
          <w:sz w:val="24"/>
        </w:rPr>
        <w:t>qPCR</w:t>
      </w:r>
      <w:proofErr w:type="spellEnd"/>
      <w:r>
        <w:rPr>
          <w:sz w:val="24"/>
        </w:rPr>
        <w:t xml:space="preserve"> y DVC-FISH, que la ameba </w:t>
      </w:r>
      <w:r>
        <w:rPr>
          <w:sz w:val="24"/>
        </w:rPr>
        <w:lastRenderedPageBreak/>
        <w:t xml:space="preserve">es capaz de internalizar a la bacteria y que esta última es viable, demostrando que </w:t>
      </w:r>
      <w:r>
        <w:rPr>
          <w:i/>
          <w:sz w:val="24"/>
        </w:rPr>
        <w:t>H. pylori</w:t>
      </w:r>
      <w:r>
        <w:rPr>
          <w:sz w:val="24"/>
        </w:rPr>
        <w:t xml:space="preserve"> se comporta como una bacteria ARB.</w:t>
      </w:r>
    </w:p>
    <w:p w:rsidR="00FE70EE" w:rsidRDefault="00FE70EE" w:rsidP="00FE70EE">
      <w:pPr>
        <w:spacing w:before="120" w:after="120"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Seguidamente, se analizaron un total de 120 muestras ambientales, 100 de agua y 20 de vegetales para comprobar la presencia tanto de FLA como de </w:t>
      </w:r>
      <w:r>
        <w:rPr>
          <w:i/>
          <w:sz w:val="24"/>
        </w:rPr>
        <w:t xml:space="preserve">H. pylori </w:t>
      </w:r>
      <w:r>
        <w:rPr>
          <w:sz w:val="24"/>
        </w:rPr>
        <w:t xml:space="preserve">internalizado en estas FLA. </w:t>
      </w:r>
    </w:p>
    <w:p w:rsidR="00FE70EE" w:rsidRDefault="00FE70EE" w:rsidP="00FE70EE">
      <w:pPr>
        <w:spacing w:before="120" w:after="120" w:line="360" w:lineRule="auto"/>
        <w:ind w:firstLine="567"/>
        <w:jc w:val="both"/>
        <w:rPr>
          <w:sz w:val="24"/>
        </w:rPr>
      </w:pPr>
      <w:r>
        <w:rPr>
          <w:sz w:val="24"/>
        </w:rPr>
        <w:t>En el caso de las muestras de agua, se analizaron 69 muestras de agua residual y 31 de agua potable. Un total de 55 (79,7%) muestras de agua residual y 12 (38,7%) de agua potable resultaron positivas para la presencia de FLA. Mediante la técnica PMA-</w:t>
      </w:r>
      <w:proofErr w:type="spellStart"/>
      <w:r>
        <w:rPr>
          <w:sz w:val="24"/>
        </w:rPr>
        <w:t>qPCR</w:t>
      </w:r>
      <w:proofErr w:type="spellEnd"/>
      <w:r>
        <w:rPr>
          <w:sz w:val="24"/>
        </w:rPr>
        <w:t xml:space="preserve"> se demostró la presencia de </w:t>
      </w:r>
      <w:r>
        <w:rPr>
          <w:i/>
          <w:sz w:val="24"/>
        </w:rPr>
        <w:t>H. pylori</w:t>
      </w:r>
      <w:r>
        <w:rPr>
          <w:sz w:val="24"/>
        </w:rPr>
        <w:t xml:space="preserve"> internalizado en las FLA presentes en 28 (50,9%) y 11 (91,7%) de las muestras de agua residual y potable analizadas, respectivamente. Mediante DVC-FISH se demostró que las células de </w:t>
      </w:r>
      <w:r>
        <w:rPr>
          <w:i/>
          <w:sz w:val="24"/>
        </w:rPr>
        <w:t>H. pylori</w:t>
      </w:r>
      <w:r>
        <w:rPr>
          <w:sz w:val="24"/>
        </w:rPr>
        <w:t xml:space="preserve"> internalizadas dentro de las FLA presentes en las muestras eran viables en 16 (29,5%) y 5 (41,7%)</w:t>
      </w:r>
      <w:r w:rsidRPr="003F55F2">
        <w:rPr>
          <w:sz w:val="24"/>
        </w:rPr>
        <w:t xml:space="preserve"> </w:t>
      </w:r>
      <w:r>
        <w:rPr>
          <w:sz w:val="24"/>
        </w:rPr>
        <w:t xml:space="preserve">de las muestras de agua residual y potable analizadas, respectivamente. Además, se consiguió recuperar formas viables cultivables de </w:t>
      </w:r>
      <w:r>
        <w:rPr>
          <w:i/>
          <w:sz w:val="24"/>
        </w:rPr>
        <w:t xml:space="preserve">H. pylori </w:t>
      </w:r>
      <w:r>
        <w:rPr>
          <w:sz w:val="24"/>
        </w:rPr>
        <w:t xml:space="preserve">procedente del interior de FLA en 10 (18,2%) de las muestras de agua residual analizadas. Las FLA aisladas e identificadas en las aguas residuales pertenecieron a los géneros </w:t>
      </w:r>
      <w:proofErr w:type="spellStart"/>
      <w:r>
        <w:rPr>
          <w:i/>
          <w:sz w:val="24"/>
        </w:rPr>
        <w:t>Acanthamoeba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Naegleria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Vanellidae</w:t>
      </w:r>
      <w:proofErr w:type="spellEnd"/>
      <w:r>
        <w:rPr>
          <w:sz w:val="24"/>
        </w:rPr>
        <w:t xml:space="preserve"> y a la familia </w:t>
      </w:r>
      <w:proofErr w:type="spellStart"/>
      <w:r>
        <w:rPr>
          <w:sz w:val="24"/>
        </w:rPr>
        <w:t>Vahlkampfiidae</w:t>
      </w:r>
      <w:proofErr w:type="spellEnd"/>
      <w:r>
        <w:rPr>
          <w:sz w:val="24"/>
        </w:rPr>
        <w:t xml:space="preserve">. En el caso del agua potable, las FLA aisladas e identificadas pertenecieron a los géneros </w:t>
      </w:r>
      <w:proofErr w:type="spellStart"/>
      <w:r>
        <w:rPr>
          <w:i/>
          <w:sz w:val="24"/>
        </w:rPr>
        <w:t>Acanthamoeba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Echinamoeba</w:t>
      </w:r>
      <w:proofErr w:type="spellEnd"/>
      <w:r>
        <w:rPr>
          <w:sz w:val="24"/>
        </w:rPr>
        <w:t xml:space="preserve"> y </w:t>
      </w:r>
      <w:proofErr w:type="spellStart"/>
      <w:r>
        <w:rPr>
          <w:i/>
          <w:sz w:val="24"/>
        </w:rPr>
        <w:t>Vermamoeba</w:t>
      </w:r>
      <w:proofErr w:type="spellEnd"/>
      <w:r>
        <w:rPr>
          <w:sz w:val="24"/>
        </w:rPr>
        <w:t>.</w:t>
      </w:r>
    </w:p>
    <w:p w:rsidR="00FE70EE" w:rsidRDefault="00FE70EE" w:rsidP="00FE70EE">
      <w:pPr>
        <w:spacing w:before="120" w:after="120" w:line="360" w:lineRule="auto"/>
        <w:ind w:firstLine="567"/>
        <w:jc w:val="both"/>
        <w:rPr>
          <w:sz w:val="24"/>
        </w:rPr>
      </w:pPr>
      <w:r>
        <w:rPr>
          <w:sz w:val="24"/>
        </w:rPr>
        <w:t>En el caso de las muestras de vegetales, concretamente lechugas, todas ellas resultaron positivas para el aislamiento de FLA (100%). Mediante la técnica PMA-</w:t>
      </w:r>
      <w:proofErr w:type="spellStart"/>
      <w:r>
        <w:rPr>
          <w:sz w:val="24"/>
        </w:rPr>
        <w:t>qPCR</w:t>
      </w:r>
      <w:proofErr w:type="spellEnd"/>
      <w:r>
        <w:rPr>
          <w:sz w:val="24"/>
        </w:rPr>
        <w:t xml:space="preserve"> se demostró la presencia de </w:t>
      </w:r>
      <w:r>
        <w:rPr>
          <w:i/>
          <w:sz w:val="24"/>
        </w:rPr>
        <w:t>H. pylori</w:t>
      </w:r>
      <w:r>
        <w:rPr>
          <w:sz w:val="24"/>
        </w:rPr>
        <w:t xml:space="preserve"> internalizado en las FLA en 11 (55,0%) de las muestras y, mediante</w:t>
      </w:r>
      <w:r w:rsidRPr="00DF6C1D">
        <w:rPr>
          <w:sz w:val="24"/>
        </w:rPr>
        <w:t xml:space="preserve"> </w:t>
      </w:r>
      <w:r>
        <w:rPr>
          <w:sz w:val="24"/>
        </w:rPr>
        <w:t xml:space="preserve">DVC-FISH, se demostró que las células de </w:t>
      </w:r>
      <w:r>
        <w:rPr>
          <w:i/>
          <w:sz w:val="24"/>
        </w:rPr>
        <w:t>H. pylori</w:t>
      </w:r>
      <w:r>
        <w:rPr>
          <w:sz w:val="24"/>
        </w:rPr>
        <w:t xml:space="preserve"> internalizadas dentro de las FLA</w:t>
      </w:r>
      <w:r w:rsidRPr="00DF6C1D">
        <w:rPr>
          <w:sz w:val="24"/>
        </w:rPr>
        <w:t xml:space="preserve"> </w:t>
      </w:r>
      <w:r>
        <w:rPr>
          <w:sz w:val="24"/>
        </w:rPr>
        <w:t>eran viables en 5 (25,0%) de las muestras. En este caso no se recuperaron formas viables cultivables de la bacteria.</w:t>
      </w:r>
    </w:p>
    <w:p w:rsidR="00FE70EE" w:rsidRDefault="00FE70EE" w:rsidP="00FE70EE">
      <w:pPr>
        <w:spacing w:before="120" w:after="120" w:line="360" w:lineRule="auto"/>
        <w:ind w:firstLine="567"/>
        <w:jc w:val="both"/>
        <w:rPr>
          <w:sz w:val="24"/>
        </w:rPr>
      </w:pPr>
      <w:r w:rsidRPr="00431236">
        <w:rPr>
          <w:sz w:val="24"/>
        </w:rPr>
        <w:t xml:space="preserve">Finalmente, mediante </w:t>
      </w:r>
      <w:proofErr w:type="spellStart"/>
      <w:r w:rsidRPr="00431236">
        <w:rPr>
          <w:sz w:val="24"/>
        </w:rPr>
        <w:t>metagenómica</w:t>
      </w:r>
      <w:proofErr w:type="spellEnd"/>
      <w:r w:rsidRPr="00431236">
        <w:rPr>
          <w:sz w:val="24"/>
        </w:rPr>
        <w:t xml:space="preserve"> de secuenciación dirigida, se analizó el </w:t>
      </w:r>
      <w:proofErr w:type="spellStart"/>
      <w:r w:rsidRPr="00431236">
        <w:rPr>
          <w:sz w:val="24"/>
        </w:rPr>
        <w:t>microbioma</w:t>
      </w:r>
      <w:proofErr w:type="spellEnd"/>
      <w:r w:rsidRPr="00431236">
        <w:rPr>
          <w:sz w:val="24"/>
        </w:rPr>
        <w:t xml:space="preserve"> de las FLA presentes en 20 de las muestras analizadas en esta Tesis</w:t>
      </w:r>
      <w:r>
        <w:rPr>
          <w:sz w:val="24"/>
        </w:rPr>
        <w:t xml:space="preserve"> (11 de agua residual, 3 de agua potable y 6 de lechugas). Para ello, se eligieron los iniciadores, se evaluaron </w:t>
      </w:r>
      <w:r>
        <w:rPr>
          <w:i/>
          <w:sz w:val="24"/>
        </w:rPr>
        <w:t xml:space="preserve">in </w:t>
      </w:r>
      <w:proofErr w:type="spellStart"/>
      <w:r>
        <w:rPr>
          <w:i/>
          <w:sz w:val="24"/>
        </w:rPr>
        <w:t>silico</w:t>
      </w:r>
      <w:proofErr w:type="spellEnd"/>
      <w:r>
        <w:rPr>
          <w:sz w:val="24"/>
        </w:rPr>
        <w:t xml:space="preserve"> e </w:t>
      </w:r>
      <w:r>
        <w:rPr>
          <w:i/>
          <w:sz w:val="24"/>
        </w:rPr>
        <w:t>in vitro</w:t>
      </w:r>
      <w:r>
        <w:rPr>
          <w:sz w:val="24"/>
        </w:rPr>
        <w:t xml:space="preserve"> y, una vez comprobada su idoneidad, se emplearon para la secuenciación de las muestras. </w:t>
      </w:r>
    </w:p>
    <w:p w:rsidR="00FE70EE" w:rsidRDefault="00FE70EE" w:rsidP="00FE70EE">
      <w:pPr>
        <w:spacing w:before="120" w:after="120" w:line="360" w:lineRule="auto"/>
        <w:ind w:firstLine="567"/>
        <w:jc w:val="both"/>
        <w:rPr>
          <w:sz w:val="24"/>
        </w:rPr>
      </w:pPr>
      <w:r w:rsidRPr="00431236">
        <w:rPr>
          <w:sz w:val="24"/>
        </w:rPr>
        <w:lastRenderedPageBreak/>
        <w:t xml:space="preserve">En los tres tipos de muestras, la clase bacteriana más abundante fue la </w:t>
      </w:r>
      <w:proofErr w:type="spellStart"/>
      <w:r w:rsidRPr="00431236">
        <w:rPr>
          <w:sz w:val="24"/>
        </w:rPr>
        <w:t>Gammaproteobacteria</w:t>
      </w:r>
      <w:proofErr w:type="spellEnd"/>
      <w:r w:rsidRPr="00431236">
        <w:rPr>
          <w:sz w:val="24"/>
        </w:rPr>
        <w:t>. Para los tres tipos</w:t>
      </w:r>
      <w:r>
        <w:rPr>
          <w:sz w:val="24"/>
        </w:rPr>
        <w:t xml:space="preserve"> de muestras, los filos más abundantes de las bacterias del </w:t>
      </w:r>
      <w:proofErr w:type="spellStart"/>
      <w:r>
        <w:rPr>
          <w:sz w:val="24"/>
        </w:rPr>
        <w:t>microbioma</w:t>
      </w:r>
      <w:proofErr w:type="spellEnd"/>
      <w:r>
        <w:rPr>
          <w:sz w:val="24"/>
        </w:rPr>
        <w:t xml:space="preserve"> de las FLA fueron </w:t>
      </w:r>
      <w:proofErr w:type="spellStart"/>
      <w:r w:rsidRPr="00431236">
        <w:rPr>
          <w:sz w:val="24"/>
        </w:rPr>
        <w:t>Proteobacteria</w:t>
      </w:r>
      <w:proofErr w:type="spellEnd"/>
      <w:r w:rsidRPr="00431236">
        <w:rPr>
          <w:sz w:val="24"/>
        </w:rPr>
        <w:t xml:space="preserve"> y </w:t>
      </w:r>
      <w:proofErr w:type="spellStart"/>
      <w:r w:rsidRPr="00431236">
        <w:rPr>
          <w:sz w:val="24"/>
        </w:rPr>
        <w:t>Bacteroidetes</w:t>
      </w:r>
      <w:proofErr w:type="spellEnd"/>
      <w:r w:rsidRPr="00431236">
        <w:rPr>
          <w:sz w:val="24"/>
        </w:rPr>
        <w:t xml:space="preserve"> y, en el caso del agua residual</w:t>
      </w:r>
      <w:r>
        <w:rPr>
          <w:sz w:val="24"/>
        </w:rPr>
        <w:t xml:space="preserve">, también lo fue el filo </w:t>
      </w:r>
      <w:proofErr w:type="spellStart"/>
      <w:r>
        <w:rPr>
          <w:sz w:val="24"/>
        </w:rPr>
        <w:t>Planctomycetes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H. pylori</w:t>
      </w:r>
      <w:r>
        <w:rPr>
          <w:sz w:val="24"/>
        </w:rPr>
        <w:t xml:space="preserve"> se detectó mediante esta técnica en los tres tipos de </w:t>
      </w:r>
      <w:r w:rsidRPr="00431236">
        <w:rPr>
          <w:sz w:val="24"/>
        </w:rPr>
        <w:t>muestra</w:t>
      </w:r>
      <w:r>
        <w:rPr>
          <w:sz w:val="24"/>
        </w:rPr>
        <w:t xml:space="preserve">. Además, como parte del </w:t>
      </w:r>
      <w:proofErr w:type="spellStart"/>
      <w:r>
        <w:rPr>
          <w:sz w:val="24"/>
        </w:rPr>
        <w:t>microbioma</w:t>
      </w:r>
      <w:proofErr w:type="spellEnd"/>
      <w:r>
        <w:rPr>
          <w:sz w:val="24"/>
        </w:rPr>
        <w:t xml:space="preserve"> de FLA de muestras ambientales, se detectaron otras bacterias de interés para la salud pública, tales como </w:t>
      </w:r>
      <w:proofErr w:type="spellStart"/>
      <w:r>
        <w:rPr>
          <w:i/>
          <w:sz w:val="24"/>
        </w:rPr>
        <w:t>Aeromonas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Legionella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Mycobaterium</w:t>
      </w:r>
      <w:proofErr w:type="spellEnd"/>
      <w:r>
        <w:rPr>
          <w:sz w:val="24"/>
        </w:rPr>
        <w:t xml:space="preserve"> o </w:t>
      </w:r>
      <w:proofErr w:type="spellStart"/>
      <w:r>
        <w:rPr>
          <w:i/>
          <w:sz w:val="24"/>
        </w:rPr>
        <w:t>Pseudomonas</w:t>
      </w:r>
      <w:proofErr w:type="spellEnd"/>
      <w:r>
        <w:rPr>
          <w:sz w:val="24"/>
        </w:rPr>
        <w:t>.</w:t>
      </w:r>
    </w:p>
    <w:p w:rsidR="00FE70EE" w:rsidRDefault="00FE70EE" w:rsidP="00FE70EE">
      <w:pPr>
        <w:spacing w:before="120" w:after="120" w:line="360" w:lineRule="auto"/>
        <w:ind w:firstLine="567"/>
        <w:jc w:val="both"/>
        <w:rPr>
          <w:sz w:val="24"/>
        </w:rPr>
      </w:pPr>
      <w:r w:rsidRPr="00431236">
        <w:rPr>
          <w:sz w:val="24"/>
        </w:rPr>
        <w:t xml:space="preserve">Los resultados obtenidos en esta Tesis demuestran la presencia de FLA patógenas en las muestras ambientales, así como el hecho de que, en algunos casos, </w:t>
      </w:r>
      <w:proofErr w:type="gramStart"/>
      <w:r w:rsidRPr="00431236">
        <w:rPr>
          <w:sz w:val="24"/>
        </w:rPr>
        <w:t>estas</w:t>
      </w:r>
      <w:proofErr w:type="gramEnd"/>
      <w:r w:rsidRPr="00431236">
        <w:rPr>
          <w:sz w:val="24"/>
        </w:rPr>
        <w:t xml:space="preserve"> son transportadoras de bacterias patógenas.</w:t>
      </w:r>
      <w:r>
        <w:rPr>
          <w:sz w:val="24"/>
        </w:rPr>
        <w:t xml:space="preserve"> </w:t>
      </w:r>
    </w:p>
    <w:p w:rsidR="00FE70EE" w:rsidRPr="008156EB" w:rsidRDefault="00FE70EE" w:rsidP="00FE70EE">
      <w:pPr>
        <w:spacing w:before="120" w:after="120"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Este trabajo también confirma que </w:t>
      </w:r>
      <w:r>
        <w:rPr>
          <w:i/>
          <w:sz w:val="24"/>
        </w:rPr>
        <w:t>H. pylori</w:t>
      </w:r>
      <w:r>
        <w:rPr>
          <w:sz w:val="24"/>
        </w:rPr>
        <w:t xml:space="preserve"> se comporta como una bacteria ARB </w:t>
      </w:r>
      <w:r w:rsidRPr="00431236">
        <w:rPr>
          <w:sz w:val="24"/>
        </w:rPr>
        <w:t>y que se encuentra viable en el interior de FLA presentes</w:t>
      </w:r>
      <w:r>
        <w:rPr>
          <w:sz w:val="24"/>
        </w:rPr>
        <w:t>,</w:t>
      </w:r>
      <w:r w:rsidRPr="00431236">
        <w:rPr>
          <w:sz w:val="24"/>
        </w:rPr>
        <w:t xml:space="preserve"> tanto en aguas residuales y potables como en vegetales. De esta forma, se postula que un modo de transmisión de esta bacteria podría ser a través de las FLA presentes en agua o vegetales.</w:t>
      </w:r>
    </w:p>
    <w:p w:rsidR="0010591B" w:rsidRDefault="0010591B"/>
    <w:sectPr w:rsidR="0010591B" w:rsidSect="001059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EE" w:rsidRDefault="00FE70EE" w:rsidP="00FE70EE">
      <w:pPr>
        <w:spacing w:after="0" w:line="240" w:lineRule="auto"/>
      </w:pPr>
      <w:r>
        <w:separator/>
      </w:r>
    </w:p>
  </w:endnote>
  <w:endnote w:type="continuationSeparator" w:id="0">
    <w:p w:rsidR="00FE70EE" w:rsidRDefault="00FE70EE" w:rsidP="00FE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EE" w:rsidRDefault="00FE70EE" w:rsidP="00FE70EE">
      <w:pPr>
        <w:spacing w:after="0" w:line="240" w:lineRule="auto"/>
      </w:pPr>
      <w:r>
        <w:separator/>
      </w:r>
    </w:p>
  </w:footnote>
  <w:footnote w:type="continuationSeparator" w:id="0">
    <w:p w:rsidR="00FE70EE" w:rsidRDefault="00FE70EE" w:rsidP="00FE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EE" w:rsidRDefault="00FE70EE" w:rsidP="00FE70EE">
    <w:pPr>
      <w:pStyle w:val="Encabezado"/>
      <w:jc w:val="right"/>
    </w:pPr>
    <w:r>
      <w:t>Laura Moreno Mesonero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0EE"/>
    <w:rsid w:val="0010591B"/>
    <w:rsid w:val="00FE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E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E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70E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E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70EE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4642</Characters>
  <Application>Microsoft Office Word</Application>
  <DocSecurity>0</DocSecurity>
  <Lines>38</Lines>
  <Paragraphs>10</Paragraphs>
  <ScaleCrop>false</ScaleCrop>
  <Company>UPV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laumome</dc:creator>
  <cp:lastModifiedBy>laumome</cp:lastModifiedBy>
  <cp:revision>1</cp:revision>
  <dcterms:created xsi:type="dcterms:W3CDTF">2018-07-16T08:32:00Z</dcterms:created>
  <dcterms:modified xsi:type="dcterms:W3CDTF">2018-07-16T08:34:00Z</dcterms:modified>
</cp:coreProperties>
</file>