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00" w:rsidRPr="003F7DB1" w:rsidRDefault="00587700" w:rsidP="00587700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  <w:sz w:val="20"/>
          <w:szCs w:val="24"/>
        </w:rPr>
      </w:pPr>
      <w:r>
        <w:rPr>
          <w:rFonts w:cs="Garamond"/>
          <w:b/>
          <w:sz w:val="28"/>
          <w:szCs w:val="24"/>
        </w:rPr>
        <w:t>Resumen</w:t>
      </w:r>
      <w:r w:rsidRPr="003F7DB1">
        <w:rPr>
          <w:rFonts w:cs="Garamond"/>
          <w:b/>
          <w:sz w:val="20"/>
          <w:szCs w:val="24"/>
        </w:rPr>
        <w:t xml:space="preserve"> </w:t>
      </w:r>
    </w:p>
    <w:p w:rsidR="00587700" w:rsidRDefault="00587700" w:rsidP="00587700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587700" w:rsidRPr="00EB69FF" w:rsidRDefault="00587700" w:rsidP="00587700">
      <w:pPr>
        <w:jc w:val="both"/>
        <w:rPr>
          <w:sz w:val="20"/>
          <w:szCs w:val="20"/>
          <w:lang w:val="es-ES_tradnl"/>
        </w:rPr>
      </w:pPr>
      <w:r w:rsidRPr="00824943">
        <w:rPr>
          <w:sz w:val="20"/>
          <w:szCs w:val="20"/>
          <w:lang w:val="es-GT"/>
        </w:rPr>
        <w:t>Las pérdidas causadas por podredumbres durante la post-cosecha de frutos cítricos suelen suponer entre un 5 y un 10</w:t>
      </w:r>
      <w:r>
        <w:rPr>
          <w:sz w:val="20"/>
          <w:szCs w:val="20"/>
          <w:lang w:val="es-GT"/>
        </w:rPr>
        <w:t xml:space="preserve"> </w:t>
      </w:r>
      <w:r w:rsidRPr="00824943">
        <w:rPr>
          <w:sz w:val="20"/>
          <w:szCs w:val="20"/>
          <w:lang w:val="es-GT"/>
        </w:rPr>
        <w:t xml:space="preserve">% de la producción, siendo </w:t>
      </w:r>
      <w:proofErr w:type="spellStart"/>
      <w:r w:rsidRPr="00824943">
        <w:rPr>
          <w:i/>
          <w:sz w:val="20"/>
          <w:szCs w:val="20"/>
          <w:lang w:val="es-GT"/>
        </w:rPr>
        <w:t>Penicillium</w:t>
      </w:r>
      <w:proofErr w:type="spellEnd"/>
      <w:r w:rsidRPr="00824943">
        <w:rPr>
          <w:i/>
          <w:sz w:val="20"/>
          <w:szCs w:val="20"/>
          <w:lang w:val="es-GT"/>
        </w:rPr>
        <w:t xml:space="preserve"> </w:t>
      </w:r>
      <w:proofErr w:type="spellStart"/>
      <w:r w:rsidRPr="00824943">
        <w:rPr>
          <w:i/>
          <w:sz w:val="20"/>
          <w:szCs w:val="20"/>
          <w:lang w:val="es-GT"/>
        </w:rPr>
        <w:t>digitatum</w:t>
      </w:r>
      <w:proofErr w:type="spellEnd"/>
      <w:r w:rsidRPr="00824943">
        <w:rPr>
          <w:sz w:val="20"/>
          <w:szCs w:val="20"/>
          <w:lang w:val="es-GT"/>
        </w:rPr>
        <w:t xml:space="preserve"> el principal hongo patógeno, responsable de hasta el 80</w:t>
      </w:r>
      <w:r>
        <w:rPr>
          <w:sz w:val="20"/>
          <w:szCs w:val="20"/>
          <w:lang w:val="es-GT"/>
        </w:rPr>
        <w:t xml:space="preserve"> </w:t>
      </w:r>
      <w:r w:rsidRPr="00824943">
        <w:rPr>
          <w:sz w:val="20"/>
          <w:szCs w:val="20"/>
          <w:lang w:val="es-GT"/>
        </w:rPr>
        <w:t xml:space="preserve">% de las pérdidas causadas por podredumbres en frutos almacenados a temperatura ambiente. A pesar de la importancia económica de este patógeno nuestro conocimiento sobre los mecanismos de </w:t>
      </w:r>
      <w:proofErr w:type="spellStart"/>
      <w:r w:rsidRPr="00824943">
        <w:rPr>
          <w:sz w:val="20"/>
          <w:szCs w:val="20"/>
          <w:lang w:val="es-GT"/>
        </w:rPr>
        <w:t>patogenicidad</w:t>
      </w:r>
      <w:proofErr w:type="spellEnd"/>
      <w:r w:rsidRPr="00824943">
        <w:rPr>
          <w:sz w:val="20"/>
          <w:szCs w:val="20"/>
          <w:lang w:val="es-GT"/>
        </w:rPr>
        <w:t xml:space="preserve">/ virulencia son muy escasos, en contraste con el avance experimentado en los últimos años en el conocimiento de las respuestas de defensa del fruto a la infección por este patógeno. Así, en el grupo de Fisiología y Biotecnología </w:t>
      </w:r>
      <w:proofErr w:type="spellStart"/>
      <w:r w:rsidRPr="00824943">
        <w:rPr>
          <w:sz w:val="20"/>
          <w:szCs w:val="20"/>
          <w:lang w:val="es-GT"/>
        </w:rPr>
        <w:t>Postcosecha</w:t>
      </w:r>
      <w:proofErr w:type="spellEnd"/>
      <w:r w:rsidRPr="00824943">
        <w:rPr>
          <w:sz w:val="20"/>
          <w:szCs w:val="20"/>
          <w:lang w:val="es-GT"/>
        </w:rPr>
        <w:t xml:space="preserve"> del IATA se está trabajando en la caracterización a nivel bioquímico y molecular de las respuestas de los frutos cítricos frente a la infección por </w:t>
      </w:r>
      <w:r w:rsidRPr="00824943">
        <w:rPr>
          <w:i/>
          <w:sz w:val="20"/>
          <w:szCs w:val="20"/>
          <w:lang w:val="es-GT"/>
        </w:rPr>
        <w:t xml:space="preserve">P. </w:t>
      </w:r>
      <w:proofErr w:type="spellStart"/>
      <w:r w:rsidRPr="00824943">
        <w:rPr>
          <w:i/>
          <w:sz w:val="20"/>
          <w:szCs w:val="20"/>
          <w:lang w:val="es-GT"/>
        </w:rPr>
        <w:t>digitatum</w:t>
      </w:r>
      <w:proofErr w:type="spellEnd"/>
      <w:r w:rsidRPr="00824943">
        <w:rPr>
          <w:sz w:val="20"/>
          <w:szCs w:val="20"/>
          <w:lang w:val="es-GT"/>
        </w:rPr>
        <w:t xml:space="preserve"> y en el proceso de inducción de resistencia en frutos cítricos frente a la infección. </w:t>
      </w:r>
    </w:p>
    <w:p w:rsidR="00587700" w:rsidRDefault="00587700" w:rsidP="00587700">
      <w:pPr>
        <w:jc w:val="both"/>
        <w:rPr>
          <w:sz w:val="20"/>
          <w:szCs w:val="20"/>
        </w:rPr>
      </w:pPr>
      <w:r w:rsidRPr="00824943">
        <w:rPr>
          <w:sz w:val="20"/>
          <w:szCs w:val="20"/>
          <w:lang w:val="es-GT"/>
        </w:rPr>
        <w:t xml:space="preserve">Por este motivo en esta Tesis </w:t>
      </w:r>
      <w:r w:rsidRPr="00824943">
        <w:rPr>
          <w:sz w:val="20"/>
          <w:szCs w:val="20"/>
        </w:rPr>
        <w:t>se han desarrollado un conjunto de herramientas esenciales para poder abordar la caracterización funcional de genes involucrados en virulencia/</w:t>
      </w:r>
      <w:proofErr w:type="spellStart"/>
      <w:r w:rsidRPr="00824943">
        <w:rPr>
          <w:sz w:val="20"/>
          <w:szCs w:val="20"/>
        </w:rPr>
        <w:t>patogenicidad</w:t>
      </w:r>
      <w:proofErr w:type="spellEnd"/>
      <w:r w:rsidRPr="00824943">
        <w:rPr>
          <w:sz w:val="20"/>
          <w:szCs w:val="20"/>
        </w:rPr>
        <w:t xml:space="preserve">: transformación de </w:t>
      </w:r>
      <w:r w:rsidRPr="00824943">
        <w:rPr>
          <w:i/>
          <w:sz w:val="20"/>
          <w:szCs w:val="20"/>
        </w:rPr>
        <w:t xml:space="preserve">P. </w:t>
      </w:r>
      <w:proofErr w:type="spellStart"/>
      <w:r w:rsidRPr="00824943">
        <w:rPr>
          <w:i/>
          <w:sz w:val="20"/>
          <w:szCs w:val="20"/>
        </w:rPr>
        <w:t>digitatum</w:t>
      </w:r>
      <w:proofErr w:type="spellEnd"/>
      <w:r w:rsidRPr="00824943">
        <w:rPr>
          <w:sz w:val="20"/>
          <w:szCs w:val="20"/>
        </w:rPr>
        <w:t xml:space="preserve"> mediada por </w:t>
      </w:r>
      <w:proofErr w:type="spellStart"/>
      <w:r w:rsidRPr="00824943">
        <w:rPr>
          <w:i/>
          <w:sz w:val="20"/>
          <w:szCs w:val="20"/>
        </w:rPr>
        <w:t>Agrobacterium</w:t>
      </w:r>
      <w:proofErr w:type="spellEnd"/>
      <w:r w:rsidRPr="00824943">
        <w:rPr>
          <w:i/>
          <w:sz w:val="20"/>
          <w:szCs w:val="20"/>
        </w:rPr>
        <w:t xml:space="preserve"> </w:t>
      </w:r>
      <w:proofErr w:type="spellStart"/>
      <w:r w:rsidRPr="00824943">
        <w:rPr>
          <w:i/>
          <w:sz w:val="20"/>
          <w:szCs w:val="20"/>
        </w:rPr>
        <w:t>tumefaciens</w:t>
      </w:r>
      <w:proofErr w:type="spellEnd"/>
      <w:r w:rsidRPr="00824943">
        <w:rPr>
          <w:sz w:val="20"/>
          <w:szCs w:val="20"/>
        </w:rPr>
        <w:t xml:space="preserve">, utilización de la proteína verde fluorescente como marcadora, metodología para la obtención de mutantes de </w:t>
      </w:r>
      <w:proofErr w:type="spellStart"/>
      <w:r w:rsidRPr="00824943">
        <w:rPr>
          <w:sz w:val="20"/>
          <w:szCs w:val="20"/>
        </w:rPr>
        <w:t>deleción</w:t>
      </w:r>
      <w:proofErr w:type="spellEnd"/>
      <w:r w:rsidRPr="00824943">
        <w:rPr>
          <w:sz w:val="20"/>
          <w:szCs w:val="20"/>
        </w:rPr>
        <w:t xml:space="preserve"> de genes específicos, incluyendo mutantes nulos Δ</w:t>
      </w:r>
      <w:r w:rsidRPr="001D09C5">
        <w:rPr>
          <w:i/>
          <w:sz w:val="20"/>
          <w:szCs w:val="20"/>
        </w:rPr>
        <w:t>ku80</w:t>
      </w:r>
      <w:r w:rsidRPr="00824943">
        <w:rPr>
          <w:sz w:val="20"/>
          <w:szCs w:val="20"/>
        </w:rPr>
        <w:t xml:space="preserve">, vectores para silenciamiento génico mediante </w:t>
      </w:r>
      <w:proofErr w:type="spellStart"/>
      <w:r w:rsidRPr="00824943">
        <w:rPr>
          <w:sz w:val="20"/>
          <w:szCs w:val="20"/>
        </w:rPr>
        <w:t>RNAi</w:t>
      </w:r>
      <w:proofErr w:type="spellEnd"/>
      <w:r w:rsidRPr="00824943">
        <w:rPr>
          <w:sz w:val="20"/>
          <w:szCs w:val="20"/>
        </w:rPr>
        <w:t xml:space="preserve"> y la construcción de una </w:t>
      </w:r>
      <w:proofErr w:type="spellStart"/>
      <w:r w:rsidRPr="00824943">
        <w:rPr>
          <w:sz w:val="20"/>
          <w:szCs w:val="20"/>
        </w:rPr>
        <w:t>genoteca</w:t>
      </w:r>
      <w:proofErr w:type="spellEnd"/>
      <w:r w:rsidRPr="00824943">
        <w:rPr>
          <w:sz w:val="20"/>
          <w:szCs w:val="20"/>
        </w:rPr>
        <w:t xml:space="preserve"> de DNA genómico de </w:t>
      </w:r>
      <w:r w:rsidRPr="00824943">
        <w:rPr>
          <w:i/>
          <w:sz w:val="20"/>
          <w:szCs w:val="20"/>
        </w:rPr>
        <w:t xml:space="preserve">P. </w:t>
      </w:r>
      <w:proofErr w:type="spellStart"/>
      <w:r w:rsidRPr="00824943">
        <w:rPr>
          <w:i/>
          <w:sz w:val="20"/>
          <w:szCs w:val="20"/>
        </w:rPr>
        <w:t>digitatum</w:t>
      </w:r>
      <w:proofErr w:type="spellEnd"/>
      <w:r w:rsidRPr="00824943">
        <w:rPr>
          <w:sz w:val="20"/>
          <w:szCs w:val="20"/>
        </w:rPr>
        <w:t xml:space="preserve">. Se ha secuenciado y analizado el factor de transcripción </w:t>
      </w:r>
      <w:proofErr w:type="spellStart"/>
      <w:r w:rsidRPr="00824943">
        <w:rPr>
          <w:sz w:val="20"/>
          <w:szCs w:val="20"/>
        </w:rPr>
        <w:t>PacC</w:t>
      </w:r>
      <w:proofErr w:type="spellEnd"/>
      <w:r w:rsidRPr="00824943">
        <w:rPr>
          <w:sz w:val="20"/>
          <w:szCs w:val="20"/>
        </w:rPr>
        <w:t xml:space="preserve">, que controla la expresión de un grupo de genes regulados por el pH ambiental. En </w:t>
      </w:r>
      <w:r w:rsidRPr="00824943">
        <w:rPr>
          <w:i/>
          <w:sz w:val="20"/>
          <w:szCs w:val="20"/>
        </w:rPr>
        <w:t xml:space="preserve">P. </w:t>
      </w:r>
      <w:proofErr w:type="spellStart"/>
      <w:r w:rsidRPr="00824943">
        <w:rPr>
          <w:i/>
          <w:sz w:val="20"/>
          <w:szCs w:val="20"/>
        </w:rPr>
        <w:t>digitatum</w:t>
      </w:r>
      <w:proofErr w:type="spellEnd"/>
      <w:r w:rsidRPr="00824943">
        <w:rPr>
          <w:sz w:val="20"/>
          <w:szCs w:val="20"/>
        </w:rPr>
        <w:t xml:space="preserve"> se produce una acidificación del medio para adaptarlo al pH óptimo de su arsenal de enzimas. Se </w:t>
      </w:r>
      <w:r>
        <w:rPr>
          <w:sz w:val="20"/>
          <w:szCs w:val="20"/>
        </w:rPr>
        <w:t>han obtenido</w:t>
      </w:r>
      <w:r w:rsidRPr="00824943">
        <w:rPr>
          <w:sz w:val="20"/>
          <w:szCs w:val="20"/>
        </w:rPr>
        <w:t xml:space="preserve"> mutantes de expresión constitutiva de </w:t>
      </w:r>
      <w:proofErr w:type="spellStart"/>
      <w:r w:rsidRPr="00824943">
        <w:rPr>
          <w:sz w:val="20"/>
          <w:szCs w:val="20"/>
        </w:rPr>
        <w:t>PacC</w:t>
      </w:r>
      <w:proofErr w:type="spellEnd"/>
      <w:r w:rsidRPr="00824943">
        <w:rPr>
          <w:sz w:val="20"/>
          <w:szCs w:val="20"/>
        </w:rPr>
        <w:t xml:space="preserve"> que presentan una disminución la capacidad infectiva en un 20 %. Mediante el empleo de técnicas de alto rendimiento se ha construido una </w:t>
      </w:r>
      <w:proofErr w:type="spellStart"/>
      <w:r w:rsidRPr="00824943">
        <w:rPr>
          <w:sz w:val="20"/>
          <w:szCs w:val="20"/>
        </w:rPr>
        <w:t>genoteca</w:t>
      </w:r>
      <w:proofErr w:type="spellEnd"/>
      <w:r w:rsidRPr="00824943">
        <w:rPr>
          <w:sz w:val="20"/>
          <w:szCs w:val="20"/>
        </w:rPr>
        <w:t xml:space="preserve"> substractiva de </w:t>
      </w:r>
      <w:proofErr w:type="spellStart"/>
      <w:r w:rsidRPr="00824943">
        <w:rPr>
          <w:sz w:val="20"/>
          <w:szCs w:val="20"/>
        </w:rPr>
        <w:t>cDNA</w:t>
      </w:r>
      <w:proofErr w:type="spellEnd"/>
      <w:r w:rsidRPr="00824943">
        <w:rPr>
          <w:sz w:val="20"/>
          <w:szCs w:val="20"/>
        </w:rPr>
        <w:t xml:space="preserve"> para obtener fragmentos de genes de </w:t>
      </w:r>
      <w:r w:rsidRPr="00824943">
        <w:rPr>
          <w:i/>
          <w:sz w:val="20"/>
          <w:szCs w:val="20"/>
        </w:rPr>
        <w:t xml:space="preserve">P. </w:t>
      </w:r>
      <w:proofErr w:type="spellStart"/>
      <w:r w:rsidRPr="00824943">
        <w:rPr>
          <w:i/>
          <w:sz w:val="20"/>
          <w:szCs w:val="20"/>
        </w:rPr>
        <w:t>digitatum</w:t>
      </w:r>
      <w:proofErr w:type="spellEnd"/>
      <w:r w:rsidRPr="00824943">
        <w:rPr>
          <w:sz w:val="20"/>
          <w:szCs w:val="20"/>
        </w:rPr>
        <w:t xml:space="preserve"> que se inducen durante la infección de frutos de naranja y se ha analizado la expresión génica de los mismos</w:t>
      </w:r>
      <w:r>
        <w:rPr>
          <w:sz w:val="20"/>
          <w:szCs w:val="20"/>
        </w:rPr>
        <w:t xml:space="preserve"> y se ha elaborado una </w:t>
      </w:r>
      <w:proofErr w:type="spellStart"/>
      <w:r>
        <w:rPr>
          <w:sz w:val="20"/>
          <w:szCs w:val="20"/>
        </w:rPr>
        <w:t>macromatriz</w:t>
      </w:r>
      <w:proofErr w:type="spellEnd"/>
      <w:r>
        <w:rPr>
          <w:sz w:val="20"/>
          <w:szCs w:val="20"/>
        </w:rPr>
        <w:t xml:space="preserve"> conteniendo más de 1330 clones de la </w:t>
      </w:r>
      <w:proofErr w:type="spellStart"/>
      <w:r>
        <w:rPr>
          <w:sz w:val="20"/>
          <w:szCs w:val="20"/>
        </w:rPr>
        <w:t>genoteca</w:t>
      </w:r>
      <w:proofErr w:type="spellEnd"/>
      <w:r w:rsidRPr="0082494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El grupo de genes con mayor representación en la </w:t>
      </w:r>
      <w:proofErr w:type="spellStart"/>
      <w:r>
        <w:rPr>
          <w:sz w:val="20"/>
          <w:szCs w:val="20"/>
        </w:rPr>
        <w:t>genoteca</w:t>
      </w:r>
      <w:proofErr w:type="spellEnd"/>
      <w:r>
        <w:rPr>
          <w:sz w:val="20"/>
          <w:szCs w:val="20"/>
        </w:rPr>
        <w:t xml:space="preserve"> y con altos valores de inducción, corresponde a genes que codifican cinco proteasas diferentes. Además, en la </w:t>
      </w:r>
      <w:proofErr w:type="spellStart"/>
      <w:r>
        <w:rPr>
          <w:sz w:val="20"/>
          <w:szCs w:val="20"/>
        </w:rPr>
        <w:t>genoteca</w:t>
      </w:r>
      <w:proofErr w:type="spellEnd"/>
      <w:r>
        <w:rPr>
          <w:sz w:val="20"/>
          <w:szCs w:val="20"/>
        </w:rPr>
        <w:t xml:space="preserve"> substractiva también hay una alta representación de genes que codifican </w:t>
      </w:r>
      <w:r w:rsidRPr="00824943">
        <w:rPr>
          <w:sz w:val="20"/>
          <w:szCs w:val="20"/>
        </w:rPr>
        <w:t xml:space="preserve">enzimas de degradación de la pared celular, y otras proteínas implicadas en glucólisis, respuesta a estrés o </w:t>
      </w:r>
      <w:proofErr w:type="spellStart"/>
      <w:r w:rsidRPr="00824943">
        <w:rPr>
          <w:sz w:val="20"/>
          <w:szCs w:val="20"/>
        </w:rPr>
        <w:t>detoxificación</w:t>
      </w:r>
      <w:proofErr w:type="spellEnd"/>
      <w:r w:rsidRPr="00824943">
        <w:rPr>
          <w:sz w:val="20"/>
          <w:szCs w:val="20"/>
        </w:rPr>
        <w:t xml:space="preserve">. La ya demostrada importancia de las enzimas de degradación de la pared celular en la virulencia de hongos </w:t>
      </w:r>
      <w:proofErr w:type="spellStart"/>
      <w:r w:rsidRPr="00824943">
        <w:rPr>
          <w:sz w:val="20"/>
          <w:szCs w:val="20"/>
        </w:rPr>
        <w:t>fitopatógenos</w:t>
      </w:r>
      <w:proofErr w:type="spellEnd"/>
      <w:r w:rsidRPr="00824943">
        <w:rPr>
          <w:sz w:val="20"/>
          <w:szCs w:val="20"/>
        </w:rPr>
        <w:t xml:space="preserve">, su abundancia y niveles de inducción en la </w:t>
      </w:r>
      <w:proofErr w:type="spellStart"/>
      <w:r w:rsidRPr="00824943">
        <w:rPr>
          <w:sz w:val="20"/>
          <w:szCs w:val="20"/>
        </w:rPr>
        <w:t>macromatriz</w:t>
      </w:r>
      <w:proofErr w:type="spellEnd"/>
      <w:r w:rsidRPr="00824943">
        <w:rPr>
          <w:sz w:val="20"/>
          <w:szCs w:val="20"/>
        </w:rPr>
        <w:t xml:space="preserve"> nos llevaron a estudiar más en profundidad algunos de estos genes (dos </w:t>
      </w:r>
      <w:proofErr w:type="spellStart"/>
      <w:r w:rsidRPr="00824943">
        <w:rPr>
          <w:sz w:val="20"/>
          <w:szCs w:val="20"/>
        </w:rPr>
        <w:t>poligalacturonasa</w:t>
      </w:r>
      <w:r>
        <w:rPr>
          <w:sz w:val="20"/>
          <w:szCs w:val="20"/>
        </w:rPr>
        <w:t>s</w:t>
      </w:r>
      <w:proofErr w:type="spellEnd"/>
      <w:r w:rsidRPr="00824943">
        <w:rPr>
          <w:sz w:val="20"/>
          <w:szCs w:val="20"/>
        </w:rPr>
        <w:t xml:space="preserve"> y una </w:t>
      </w:r>
      <w:proofErr w:type="spellStart"/>
      <w:r w:rsidRPr="00824943">
        <w:rPr>
          <w:sz w:val="20"/>
          <w:szCs w:val="20"/>
        </w:rPr>
        <w:t>pectin</w:t>
      </w:r>
      <w:proofErr w:type="spellEnd"/>
      <w:r w:rsidRPr="00824943">
        <w:rPr>
          <w:sz w:val="20"/>
          <w:szCs w:val="20"/>
        </w:rPr>
        <w:t xml:space="preserve"> </w:t>
      </w:r>
      <w:proofErr w:type="spellStart"/>
      <w:r w:rsidRPr="00824943">
        <w:rPr>
          <w:sz w:val="20"/>
          <w:szCs w:val="20"/>
        </w:rPr>
        <w:t>liasa</w:t>
      </w:r>
      <w:proofErr w:type="spellEnd"/>
      <w:r w:rsidRPr="00824943">
        <w:rPr>
          <w:sz w:val="20"/>
          <w:szCs w:val="20"/>
        </w:rPr>
        <w:t xml:space="preserve">). Para comprobar su implicación en el proceso de infección se secuenciaron y se obtuvieron mutantes </w:t>
      </w:r>
      <w:r>
        <w:rPr>
          <w:sz w:val="20"/>
          <w:szCs w:val="20"/>
        </w:rPr>
        <w:t xml:space="preserve">de </w:t>
      </w:r>
      <w:r w:rsidRPr="0009198C">
        <w:rPr>
          <w:i/>
          <w:sz w:val="20"/>
          <w:szCs w:val="20"/>
        </w:rPr>
        <w:t xml:space="preserve">P. </w:t>
      </w:r>
      <w:proofErr w:type="spellStart"/>
      <w:r w:rsidRPr="0009198C">
        <w:rPr>
          <w:i/>
          <w:sz w:val="20"/>
          <w:szCs w:val="20"/>
        </w:rPr>
        <w:t>digitatum</w:t>
      </w:r>
      <w:proofErr w:type="spellEnd"/>
      <w:r>
        <w:rPr>
          <w:sz w:val="20"/>
          <w:szCs w:val="20"/>
        </w:rPr>
        <w:t xml:space="preserve"> </w:t>
      </w:r>
      <w:r w:rsidRPr="00824943">
        <w:rPr>
          <w:sz w:val="20"/>
          <w:szCs w:val="20"/>
        </w:rPr>
        <w:t xml:space="preserve">en los que se eliminó el gen. La disminución de la virulencia de estos mutantes </w:t>
      </w:r>
      <w:r>
        <w:rPr>
          <w:sz w:val="20"/>
          <w:szCs w:val="20"/>
        </w:rPr>
        <w:t>sobre</w:t>
      </w:r>
      <w:r w:rsidRPr="00824943">
        <w:rPr>
          <w:sz w:val="20"/>
          <w:szCs w:val="20"/>
        </w:rPr>
        <w:t xml:space="preserve"> frutos de naranja con respecto a la cepa silvestre fue de aproximadamente un 25 %. </w:t>
      </w:r>
      <w:r>
        <w:rPr>
          <w:sz w:val="20"/>
          <w:szCs w:val="20"/>
        </w:rPr>
        <w:t xml:space="preserve">Del conjunto de genes relacionados con el metabolismo </w:t>
      </w:r>
      <w:proofErr w:type="spellStart"/>
      <w:r>
        <w:rPr>
          <w:sz w:val="20"/>
          <w:szCs w:val="20"/>
        </w:rPr>
        <w:t>redox</w:t>
      </w:r>
      <w:proofErr w:type="spellEnd"/>
      <w:r>
        <w:rPr>
          <w:sz w:val="20"/>
          <w:szCs w:val="20"/>
        </w:rPr>
        <w:t xml:space="preserve"> se seleccionó por su patrón de expresión el gen </w:t>
      </w:r>
      <w:r w:rsidRPr="001D09C5">
        <w:rPr>
          <w:i/>
          <w:sz w:val="20"/>
          <w:szCs w:val="20"/>
        </w:rPr>
        <w:t>ris1</w:t>
      </w:r>
      <w:r>
        <w:rPr>
          <w:sz w:val="20"/>
          <w:szCs w:val="20"/>
        </w:rPr>
        <w:t xml:space="preserve">, que codifica </w:t>
      </w:r>
      <w:proofErr w:type="gramStart"/>
      <w:r>
        <w:rPr>
          <w:sz w:val="20"/>
          <w:szCs w:val="20"/>
        </w:rPr>
        <w:t>una</w:t>
      </w:r>
      <w:proofErr w:type="gramEnd"/>
      <w:r>
        <w:rPr>
          <w:sz w:val="20"/>
          <w:szCs w:val="20"/>
        </w:rPr>
        <w:t xml:space="preserve"> naftaleno </w:t>
      </w:r>
      <w:proofErr w:type="spellStart"/>
      <w:r>
        <w:rPr>
          <w:sz w:val="20"/>
          <w:szCs w:val="20"/>
        </w:rPr>
        <w:t>dioxigenasa</w:t>
      </w:r>
      <w:proofErr w:type="spellEnd"/>
      <w:r>
        <w:rPr>
          <w:sz w:val="20"/>
          <w:szCs w:val="20"/>
        </w:rPr>
        <w:t xml:space="preserve"> posiblemente implicada en la </w:t>
      </w:r>
      <w:proofErr w:type="spellStart"/>
      <w:r>
        <w:rPr>
          <w:sz w:val="20"/>
          <w:szCs w:val="20"/>
        </w:rPr>
        <w:t>detoxificación</w:t>
      </w:r>
      <w:proofErr w:type="spellEnd"/>
      <w:r>
        <w:rPr>
          <w:sz w:val="20"/>
          <w:szCs w:val="20"/>
        </w:rPr>
        <w:t xml:space="preserve"> de compuestos aromáticos. A diferencia de los mutantes nulos en los genes de las </w:t>
      </w:r>
      <w:proofErr w:type="spellStart"/>
      <w:r>
        <w:rPr>
          <w:sz w:val="20"/>
          <w:szCs w:val="20"/>
        </w:rPr>
        <w:t>poligalacturonasas</w:t>
      </w:r>
      <w:proofErr w:type="spellEnd"/>
      <w:r>
        <w:rPr>
          <w:sz w:val="20"/>
          <w:szCs w:val="20"/>
        </w:rPr>
        <w:t xml:space="preserve"> o de la </w:t>
      </w:r>
      <w:proofErr w:type="spellStart"/>
      <w:r>
        <w:rPr>
          <w:sz w:val="20"/>
          <w:szCs w:val="20"/>
        </w:rPr>
        <w:t>pectin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liasa</w:t>
      </w:r>
      <w:proofErr w:type="spellEnd"/>
      <w:r>
        <w:rPr>
          <w:sz w:val="20"/>
          <w:szCs w:val="20"/>
        </w:rPr>
        <w:t>, los mutantes nulos Δ</w:t>
      </w:r>
      <w:r w:rsidRPr="001D09C5">
        <w:rPr>
          <w:i/>
          <w:sz w:val="20"/>
          <w:szCs w:val="20"/>
        </w:rPr>
        <w:t>ris1</w:t>
      </w:r>
      <w:r>
        <w:rPr>
          <w:sz w:val="20"/>
          <w:szCs w:val="20"/>
        </w:rPr>
        <w:t xml:space="preserve"> no presentaron ninguna alteración en su capacidad patogénica.</w:t>
      </w:r>
    </w:p>
    <w:p w:rsidR="003712E0" w:rsidRDefault="003712E0"/>
    <w:sectPr w:rsidR="003712E0" w:rsidSect="003712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7700"/>
    <w:rsid w:val="0001732B"/>
    <w:rsid w:val="000B0D44"/>
    <w:rsid w:val="002E5E49"/>
    <w:rsid w:val="003712E0"/>
    <w:rsid w:val="003E14D0"/>
    <w:rsid w:val="004305D8"/>
    <w:rsid w:val="00430B45"/>
    <w:rsid w:val="00492A2A"/>
    <w:rsid w:val="00503A19"/>
    <w:rsid w:val="00526723"/>
    <w:rsid w:val="00587700"/>
    <w:rsid w:val="0064174B"/>
    <w:rsid w:val="006A3E38"/>
    <w:rsid w:val="006A7ADC"/>
    <w:rsid w:val="00715964"/>
    <w:rsid w:val="00887C0B"/>
    <w:rsid w:val="008931B7"/>
    <w:rsid w:val="008A7FDD"/>
    <w:rsid w:val="009D303F"/>
    <w:rsid w:val="00A5472E"/>
    <w:rsid w:val="00B01CBD"/>
    <w:rsid w:val="00B82825"/>
    <w:rsid w:val="00BF6D40"/>
    <w:rsid w:val="00C60FDB"/>
    <w:rsid w:val="00C752D7"/>
    <w:rsid w:val="00CD2731"/>
    <w:rsid w:val="00D220BD"/>
    <w:rsid w:val="00D50EC9"/>
    <w:rsid w:val="00D61B22"/>
    <w:rsid w:val="00E12F8E"/>
    <w:rsid w:val="00E22C5D"/>
    <w:rsid w:val="00E55C2A"/>
    <w:rsid w:val="00EC53D8"/>
    <w:rsid w:val="00F06EB9"/>
    <w:rsid w:val="00F30855"/>
    <w:rsid w:val="00F953B3"/>
    <w:rsid w:val="00FC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00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2013-07-18T15:11:00Z</dcterms:created>
  <dcterms:modified xsi:type="dcterms:W3CDTF">2013-07-18T15:11:00Z</dcterms:modified>
</cp:coreProperties>
</file>