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C1D" w:rsidRDefault="00D22260" w:rsidP="00EF5D5F">
      <w:pPr>
        <w:ind w:firstLine="0"/>
        <w:jc w:val="center"/>
        <w:rPr>
          <w:rFonts w:cs="Arial"/>
          <w:b/>
          <w:lang w:val="es-ES"/>
        </w:rPr>
      </w:pPr>
      <w:r w:rsidRPr="001E71A8">
        <w:rPr>
          <w:rFonts w:cs="Arial"/>
          <w:b/>
          <w:lang w:val="es-ES"/>
        </w:rPr>
        <w:t xml:space="preserve">ESCUELA TÈCNICA SUPERIOR DE INGENIERÌA AGRONÓMICA </w:t>
      </w:r>
      <w:r w:rsidRPr="001E71A8">
        <w:rPr>
          <w:rFonts w:cs="Arial"/>
          <w:b/>
          <w:lang w:val="es-ES"/>
        </w:rPr>
        <w:br/>
        <w:t>Y DEL MEDIO NATURAL</w:t>
      </w:r>
      <w:r>
        <w:rPr>
          <w:rFonts w:cs="Arial"/>
          <w:b/>
          <w:lang w:val="es-ES"/>
        </w:rPr>
        <w:br/>
      </w:r>
    </w:p>
    <w:p w:rsidR="00C90C1D" w:rsidRDefault="00C90C1D" w:rsidP="00EF5D5F">
      <w:pPr>
        <w:ind w:firstLine="0"/>
        <w:jc w:val="center"/>
        <w:rPr>
          <w:rFonts w:cs="Arial"/>
          <w:b/>
          <w:lang w:val="es-ES"/>
        </w:rPr>
      </w:pPr>
    </w:p>
    <w:p w:rsidR="00D22260" w:rsidRDefault="00D22260" w:rsidP="00EF5D5F">
      <w:pPr>
        <w:ind w:firstLine="0"/>
        <w:jc w:val="center"/>
        <w:rPr>
          <w:rFonts w:cs="Arial"/>
          <w:b/>
          <w:lang w:val="es-ES"/>
        </w:rPr>
      </w:pPr>
      <w:r>
        <w:rPr>
          <w:rFonts w:cs="Arial"/>
          <w:b/>
          <w:lang w:val="es-ES"/>
        </w:rPr>
        <w:t>M</w:t>
      </w:r>
      <w:r w:rsidR="008E4461">
        <w:rPr>
          <w:rFonts w:cs="Arial"/>
          <w:b/>
          <w:lang w:val="es-ES"/>
        </w:rPr>
        <w:t>Á</w:t>
      </w:r>
      <w:r>
        <w:rPr>
          <w:rFonts w:cs="Arial"/>
          <w:b/>
          <w:lang w:val="es-ES"/>
        </w:rPr>
        <w:t xml:space="preserve">STER </w:t>
      </w:r>
      <w:r w:rsidR="00E721FA">
        <w:rPr>
          <w:rFonts w:cs="Arial"/>
          <w:b/>
          <w:lang w:val="es-ES"/>
        </w:rPr>
        <w:t xml:space="preserve">UNIVERSITARIO </w:t>
      </w:r>
      <w:r>
        <w:rPr>
          <w:rFonts w:cs="Arial"/>
          <w:b/>
          <w:lang w:val="es-ES"/>
        </w:rPr>
        <w:t>EN GESTI</w:t>
      </w:r>
      <w:r w:rsidR="004E05D6">
        <w:rPr>
          <w:rFonts w:cs="Arial"/>
          <w:b/>
          <w:lang w:val="es-ES"/>
        </w:rPr>
        <w:t>Ó</w:t>
      </w:r>
      <w:r>
        <w:rPr>
          <w:rFonts w:cs="Arial"/>
          <w:b/>
          <w:lang w:val="es-ES"/>
        </w:rPr>
        <w:t xml:space="preserve">N </w:t>
      </w:r>
      <w:r w:rsidR="00E721FA">
        <w:rPr>
          <w:rFonts w:cs="Arial"/>
          <w:b/>
          <w:lang w:val="es-ES"/>
        </w:rPr>
        <w:t xml:space="preserve">DE LA SEGURIDAD </w:t>
      </w:r>
      <w:r w:rsidR="00E721FA">
        <w:rPr>
          <w:rFonts w:cs="Arial"/>
          <w:b/>
          <w:lang w:val="es-ES"/>
        </w:rPr>
        <w:br/>
      </w:r>
      <w:r>
        <w:rPr>
          <w:rFonts w:cs="Arial"/>
          <w:b/>
          <w:lang w:val="es-ES"/>
        </w:rPr>
        <w:t>Y CALIDAD ALIMENTARIA</w:t>
      </w:r>
    </w:p>
    <w:p w:rsidR="00D22260" w:rsidRDefault="00D22260" w:rsidP="00EF5D5F">
      <w:pPr>
        <w:ind w:firstLine="0"/>
        <w:jc w:val="center"/>
        <w:rPr>
          <w:rFonts w:cs="Arial"/>
          <w:b/>
          <w:lang w:val="es-ES"/>
        </w:rPr>
      </w:pPr>
    </w:p>
    <w:p w:rsidR="00D22260" w:rsidRDefault="00D22260" w:rsidP="00EF5D5F">
      <w:pPr>
        <w:ind w:firstLine="0"/>
        <w:jc w:val="center"/>
        <w:rPr>
          <w:rFonts w:cs="Arial"/>
          <w:b/>
          <w:lang w:val="es-ES"/>
        </w:rPr>
      </w:pPr>
    </w:p>
    <w:p w:rsidR="00D22260" w:rsidRPr="009B1E17" w:rsidRDefault="00D22260" w:rsidP="00EF5D5F">
      <w:pPr>
        <w:tabs>
          <w:tab w:val="left" w:pos="3060"/>
        </w:tabs>
        <w:spacing w:after="200"/>
        <w:ind w:firstLine="0"/>
        <w:jc w:val="center"/>
        <w:rPr>
          <w:rFonts w:eastAsia="Calibri" w:cs="Arial"/>
          <w:b/>
          <w:sz w:val="22"/>
          <w:lang w:val="es-ES"/>
        </w:rPr>
      </w:pPr>
      <w:r w:rsidRPr="009B1E17">
        <w:rPr>
          <w:rFonts w:eastAsia="Calibri" w:cs="Arial"/>
          <w:b/>
          <w:sz w:val="22"/>
          <w:lang w:val="es-ES"/>
        </w:rPr>
        <w:t>T</w:t>
      </w:r>
      <w:r w:rsidR="004E05D6" w:rsidRPr="009B1E17">
        <w:rPr>
          <w:rFonts w:eastAsia="Calibri" w:cs="Arial"/>
          <w:b/>
          <w:sz w:val="22"/>
          <w:lang w:val="es-ES"/>
        </w:rPr>
        <w:t>RABAJO FINAL DE MÁ</w:t>
      </w:r>
      <w:r w:rsidRPr="009B1E17">
        <w:rPr>
          <w:rFonts w:eastAsia="Calibri" w:cs="Arial"/>
          <w:b/>
          <w:sz w:val="22"/>
          <w:lang w:val="es-ES"/>
        </w:rPr>
        <w:t>STER</w:t>
      </w:r>
    </w:p>
    <w:p w:rsidR="000F3423" w:rsidRPr="00231D78" w:rsidRDefault="000F3423" w:rsidP="00EF5D5F">
      <w:pPr>
        <w:ind w:firstLine="0"/>
        <w:jc w:val="center"/>
        <w:rPr>
          <w:rFonts w:cs="Arial"/>
          <w:sz w:val="28"/>
          <w:szCs w:val="28"/>
          <w:highlight w:val="yellow"/>
          <w:lang w:val="es-ES"/>
        </w:rPr>
      </w:pPr>
      <w:r w:rsidRPr="00231D78">
        <w:rPr>
          <w:rFonts w:cs="Arial"/>
          <w:b/>
          <w:sz w:val="28"/>
          <w:szCs w:val="28"/>
          <w:lang w:val="es-ES"/>
        </w:rPr>
        <w:t xml:space="preserve">EVALUACIÓN DE MATERIALES MESOPOROSOS DE SÍLICE PARA EL ENCAPSULADO Y LIBERACIÓN </w:t>
      </w:r>
      <w:r w:rsidR="00231D78">
        <w:rPr>
          <w:rFonts w:cs="Arial"/>
          <w:b/>
          <w:sz w:val="28"/>
          <w:szCs w:val="28"/>
          <w:lang w:val="es-ES"/>
        </w:rPr>
        <w:br/>
      </w:r>
      <w:r w:rsidRPr="00231D78">
        <w:rPr>
          <w:rFonts w:cs="Arial"/>
          <w:b/>
          <w:sz w:val="28"/>
          <w:szCs w:val="28"/>
          <w:lang w:val="es-ES"/>
        </w:rPr>
        <w:t>DE DIALIL DISULFURO</w:t>
      </w:r>
    </w:p>
    <w:p w:rsidR="009508F0" w:rsidRDefault="009508F0" w:rsidP="00EF5D5F">
      <w:pPr>
        <w:tabs>
          <w:tab w:val="left" w:pos="3060"/>
        </w:tabs>
        <w:spacing w:after="200"/>
        <w:ind w:firstLine="0"/>
        <w:jc w:val="center"/>
        <w:rPr>
          <w:rFonts w:eastAsia="Calibri" w:cs="Arial"/>
          <w:lang w:val="es-ES"/>
        </w:rPr>
      </w:pPr>
    </w:p>
    <w:p w:rsidR="001E71A8" w:rsidRPr="009508F0" w:rsidRDefault="001E71A8" w:rsidP="00EF5D5F">
      <w:pPr>
        <w:tabs>
          <w:tab w:val="left" w:pos="3060"/>
        </w:tabs>
        <w:spacing w:after="200"/>
        <w:ind w:firstLine="0"/>
        <w:jc w:val="center"/>
        <w:rPr>
          <w:rFonts w:eastAsia="Calibri" w:cs="Arial"/>
          <w:b/>
          <w:szCs w:val="24"/>
          <w:lang w:val="es-ES"/>
        </w:rPr>
      </w:pPr>
      <w:r w:rsidRPr="001E71A8">
        <w:rPr>
          <w:rFonts w:eastAsia="Calibri" w:cs="Arial"/>
          <w:lang w:val="es-ES"/>
        </w:rPr>
        <w:t>ALUMNO</w:t>
      </w:r>
      <w:r>
        <w:rPr>
          <w:rFonts w:eastAsia="Calibri" w:cs="Arial"/>
          <w:lang w:val="es-ES"/>
        </w:rPr>
        <w:br/>
      </w:r>
      <w:r w:rsidRPr="009508F0">
        <w:rPr>
          <w:rFonts w:eastAsia="Calibri" w:cs="Arial"/>
          <w:b/>
          <w:szCs w:val="24"/>
          <w:lang w:val="es-ES"/>
        </w:rPr>
        <w:t>Miguel Antonio Martínez Domingo</w:t>
      </w:r>
    </w:p>
    <w:p w:rsidR="001E71A8" w:rsidRDefault="001E71A8" w:rsidP="00EF5D5F">
      <w:pPr>
        <w:tabs>
          <w:tab w:val="left" w:pos="3060"/>
        </w:tabs>
        <w:spacing w:after="200"/>
        <w:ind w:firstLine="0"/>
        <w:jc w:val="center"/>
        <w:rPr>
          <w:rFonts w:eastAsia="Calibri" w:cs="Arial"/>
          <w:lang w:val="es-ES"/>
        </w:rPr>
      </w:pPr>
    </w:p>
    <w:p w:rsidR="001E71A8" w:rsidRPr="00481E9E" w:rsidRDefault="001E71A8" w:rsidP="00EF5D5F">
      <w:pPr>
        <w:tabs>
          <w:tab w:val="left" w:pos="3060"/>
        </w:tabs>
        <w:spacing w:after="200"/>
        <w:ind w:firstLine="0"/>
        <w:jc w:val="center"/>
        <w:rPr>
          <w:rFonts w:eastAsia="Calibri" w:cs="Times New Roman"/>
          <w:szCs w:val="24"/>
          <w:lang w:val="es-EC"/>
        </w:rPr>
      </w:pPr>
      <w:r w:rsidRPr="00026F53">
        <w:rPr>
          <w:rFonts w:eastAsia="Calibri" w:cs="Arial"/>
          <w:lang w:val="es-ES"/>
        </w:rPr>
        <w:t>DIR</w:t>
      </w:r>
      <w:r>
        <w:rPr>
          <w:rFonts w:eastAsia="Calibri" w:cs="Arial"/>
          <w:lang w:val="es-ES"/>
        </w:rPr>
        <w:t>ECTOR</w:t>
      </w:r>
      <w:r w:rsidR="00EF2766">
        <w:rPr>
          <w:rFonts w:eastAsia="Calibri" w:cs="Arial"/>
          <w:lang w:val="es-ES"/>
        </w:rPr>
        <w:t xml:space="preserve"> ACADÉ</w:t>
      </w:r>
      <w:r w:rsidR="00D22260">
        <w:rPr>
          <w:rFonts w:eastAsia="Calibri" w:cs="Arial"/>
          <w:lang w:val="es-ES"/>
        </w:rPr>
        <w:t>MICO</w:t>
      </w:r>
      <w:r>
        <w:rPr>
          <w:rFonts w:eastAsia="Calibri" w:cs="Arial"/>
          <w:lang w:val="es-ES"/>
        </w:rPr>
        <w:br/>
      </w:r>
      <w:r w:rsidRPr="005D4C70">
        <w:rPr>
          <w:rFonts w:eastAsia="Calibri" w:cs="Times New Roman"/>
          <w:b/>
          <w:szCs w:val="24"/>
          <w:lang w:val="es-EC"/>
        </w:rPr>
        <w:t>Jose Manuel Barat Baviera</w:t>
      </w:r>
    </w:p>
    <w:p w:rsidR="001E71A8" w:rsidRDefault="001E71A8" w:rsidP="00EF5D5F">
      <w:pPr>
        <w:tabs>
          <w:tab w:val="left" w:pos="3060"/>
        </w:tabs>
        <w:spacing w:after="200"/>
        <w:ind w:firstLine="0"/>
        <w:jc w:val="center"/>
        <w:rPr>
          <w:rFonts w:eastAsia="Calibri" w:cs="Times New Roman"/>
          <w:szCs w:val="24"/>
          <w:lang w:val="es-EC"/>
        </w:rPr>
      </w:pPr>
      <w:r>
        <w:rPr>
          <w:rFonts w:eastAsia="Calibri" w:cs="Times New Roman"/>
          <w:lang w:val="es-EC"/>
        </w:rPr>
        <w:t>DIRECTORA EXPERIMENTAL</w:t>
      </w:r>
      <w:r>
        <w:rPr>
          <w:rFonts w:eastAsia="Calibri" w:cs="Times New Roman"/>
          <w:lang w:val="es-EC"/>
        </w:rPr>
        <w:br/>
      </w:r>
      <w:r w:rsidRPr="00481E9E">
        <w:rPr>
          <w:rFonts w:eastAsia="Calibri" w:cs="Times New Roman"/>
          <w:szCs w:val="24"/>
          <w:lang w:val="es-EC"/>
        </w:rPr>
        <w:t>Carolina Acosta Romero</w:t>
      </w:r>
    </w:p>
    <w:p w:rsidR="00A91032" w:rsidRDefault="00A91032" w:rsidP="00EF5D5F">
      <w:pPr>
        <w:ind w:firstLine="0"/>
        <w:jc w:val="center"/>
        <w:rPr>
          <w:rFonts w:cs="Arial"/>
          <w:lang w:val="es-ES"/>
        </w:rPr>
      </w:pPr>
    </w:p>
    <w:p w:rsidR="00C95AAB" w:rsidRDefault="009508F0" w:rsidP="00EF5D5F">
      <w:pPr>
        <w:ind w:firstLine="0"/>
        <w:jc w:val="center"/>
        <w:rPr>
          <w:rFonts w:cs="Arial"/>
          <w:lang w:val="es-ES"/>
        </w:rPr>
      </w:pPr>
      <w:r>
        <w:rPr>
          <w:noProof/>
          <w:lang w:val="en-US"/>
        </w:rPr>
        <w:drawing>
          <wp:inline distT="0" distB="0" distL="0" distR="0">
            <wp:extent cx="1533304" cy="1760066"/>
            <wp:effectExtent l="19050" t="0" r="0" b="0"/>
            <wp:docPr id="18" name="Imagen 13" descr="http://iie.webs.upv.es/images/imagenes/marca_UPV_secundaria_negr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ie.webs.upv.es/images/imagenes/marca_UPV_secundaria_negro300.jpg"/>
                    <pic:cNvPicPr>
                      <a:picLocks noChangeAspect="1" noChangeArrowheads="1"/>
                    </pic:cNvPicPr>
                  </pic:nvPicPr>
                  <pic:blipFill>
                    <a:blip r:embed="rId8" cstate="print"/>
                    <a:srcRect l="6212" t="7542" r="8009" b="7532"/>
                    <a:stretch>
                      <a:fillRect/>
                    </a:stretch>
                  </pic:blipFill>
                  <pic:spPr bwMode="auto">
                    <a:xfrm>
                      <a:off x="0" y="0"/>
                      <a:ext cx="1537329" cy="1764686"/>
                    </a:xfrm>
                    <a:prstGeom prst="rect">
                      <a:avLst/>
                    </a:prstGeom>
                    <a:noFill/>
                    <a:ln w="9525">
                      <a:noFill/>
                      <a:miter lim="800000"/>
                      <a:headEnd/>
                      <a:tailEnd/>
                    </a:ln>
                  </pic:spPr>
                </pic:pic>
              </a:graphicData>
            </a:graphic>
          </wp:inline>
        </w:drawing>
      </w:r>
    </w:p>
    <w:p w:rsidR="00C95AAB" w:rsidRDefault="00C95AAB" w:rsidP="00EF5D5F">
      <w:pPr>
        <w:ind w:firstLine="0"/>
        <w:jc w:val="center"/>
        <w:rPr>
          <w:rFonts w:cs="Arial"/>
          <w:highlight w:val="yellow"/>
          <w:lang w:val="es-ES"/>
        </w:rPr>
      </w:pPr>
      <w:r>
        <w:rPr>
          <w:noProof/>
          <w:lang w:val="en-US"/>
        </w:rPr>
        <w:drawing>
          <wp:inline distT="0" distB="0" distL="0" distR="0">
            <wp:extent cx="1436914" cy="475013"/>
            <wp:effectExtent l="0" t="0" r="0" b="0"/>
            <wp:docPr id="17" name="Imagen 4" descr="http://www.upv.es/uplser/U059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pv.es/uplser/U0597631.jpg"/>
                    <pic:cNvPicPr>
                      <a:picLocks noChangeAspect="1" noChangeArrowheads="1"/>
                    </pic:cNvPicPr>
                  </pic:nvPicPr>
                  <pic:blipFill>
                    <a:blip r:embed="rId9" cstate="print"/>
                    <a:srcRect l="3950" t="15357" r="1619" b="26038"/>
                    <a:stretch>
                      <a:fillRect/>
                    </a:stretch>
                  </pic:blipFill>
                  <pic:spPr bwMode="auto">
                    <a:xfrm>
                      <a:off x="0" y="0"/>
                      <a:ext cx="1452156" cy="480052"/>
                    </a:xfrm>
                    <a:prstGeom prst="rect">
                      <a:avLst/>
                    </a:prstGeom>
                    <a:noFill/>
                    <a:ln w="9525">
                      <a:noFill/>
                      <a:miter lim="800000"/>
                      <a:headEnd/>
                      <a:tailEnd/>
                    </a:ln>
                  </pic:spPr>
                </pic:pic>
              </a:graphicData>
            </a:graphic>
          </wp:inline>
        </w:drawing>
      </w:r>
    </w:p>
    <w:p w:rsidR="009B1E17" w:rsidRDefault="009B1E17" w:rsidP="00EF5D5F">
      <w:pPr>
        <w:ind w:firstLine="0"/>
        <w:jc w:val="center"/>
        <w:rPr>
          <w:rFonts w:cs="Arial"/>
          <w:highlight w:val="yellow"/>
          <w:lang w:val="es-ES"/>
        </w:rPr>
      </w:pPr>
    </w:p>
    <w:p w:rsidR="001E71A8" w:rsidRPr="00026F53" w:rsidRDefault="004851B4" w:rsidP="00EF5D5F">
      <w:pPr>
        <w:tabs>
          <w:tab w:val="left" w:pos="3060"/>
        </w:tabs>
        <w:spacing w:after="200"/>
        <w:ind w:firstLine="0"/>
        <w:jc w:val="center"/>
        <w:rPr>
          <w:rFonts w:eastAsia="Calibri" w:cs="Arial"/>
          <w:lang w:val="es-ES"/>
        </w:rPr>
      </w:pPr>
      <w:r>
        <w:rPr>
          <w:rFonts w:eastAsia="Calibri" w:cs="Arial"/>
          <w:noProof/>
          <w:lang w:val="en-US"/>
        </w:rPr>
        <mc:AlternateContent>
          <mc:Choice Requires="wps">
            <w:drawing>
              <wp:anchor distT="0" distB="0" distL="114300" distR="114300" simplePos="0" relativeHeight="251669504" behindDoc="0" locked="0" layoutInCell="1" allowOverlap="1">
                <wp:simplePos x="0" y="0"/>
                <wp:positionH relativeFrom="column">
                  <wp:posOffset>4873625</wp:posOffset>
                </wp:positionH>
                <wp:positionV relativeFrom="paragraph">
                  <wp:posOffset>423545</wp:posOffset>
                </wp:positionV>
                <wp:extent cx="561975" cy="419100"/>
                <wp:effectExtent l="9525" t="10795" r="9525" b="825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191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E8C94" id="Rectangle 14" o:spid="_x0000_s1026" style="position:absolute;margin-left:383.75pt;margin-top:33.35pt;width:44.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" fillcolor="white [3212]" strokecolor="white [3212]"/>
            </w:pict>
          </mc:Fallback>
        </mc:AlternateContent>
      </w:r>
      <w:r w:rsidR="001E71A8" w:rsidRPr="00026F53">
        <w:rPr>
          <w:rFonts w:eastAsia="Calibri" w:cs="Arial"/>
          <w:lang w:val="es-ES"/>
        </w:rPr>
        <w:t>VALENCIA</w:t>
      </w:r>
      <w:r w:rsidR="001E71A8">
        <w:rPr>
          <w:rFonts w:eastAsia="Calibri" w:cs="Arial"/>
          <w:lang w:val="es-ES"/>
        </w:rPr>
        <w:t>, Septiembre</w:t>
      </w:r>
      <w:r w:rsidR="001E71A8" w:rsidRPr="00026F53">
        <w:rPr>
          <w:rFonts w:eastAsia="Calibri" w:cs="Arial"/>
          <w:lang w:val="es-ES"/>
        </w:rPr>
        <w:t xml:space="preserve"> 201</w:t>
      </w:r>
      <w:r w:rsidR="001E71A8">
        <w:rPr>
          <w:rFonts w:eastAsia="Calibri" w:cs="Arial"/>
          <w:lang w:val="es-ES"/>
        </w:rPr>
        <w:t>5</w:t>
      </w:r>
    </w:p>
    <w:p w:rsidR="001E71A8" w:rsidRPr="00026F53" w:rsidRDefault="001E71A8" w:rsidP="00C95AAB">
      <w:pPr>
        <w:tabs>
          <w:tab w:val="left" w:pos="3060"/>
        </w:tabs>
        <w:spacing w:after="200"/>
        <w:jc w:val="center"/>
        <w:rPr>
          <w:rFonts w:eastAsia="MS Gothic" w:cs="Times New Roman"/>
          <w:b/>
          <w:bCs/>
          <w:color w:val="000000"/>
          <w:szCs w:val="28"/>
          <w:lang w:val="es-EC"/>
        </w:rPr>
        <w:sectPr w:rsidR="001E71A8" w:rsidRPr="00026F53" w:rsidSect="003F010C">
          <w:footerReference w:type="default" r:id="rId10"/>
          <w:footerReference w:type="first" r:id="rId11"/>
          <w:pgSz w:w="11907" w:h="16840" w:code="9"/>
          <w:pgMar w:top="1701" w:right="1701" w:bottom="1701" w:left="1985" w:header="709" w:footer="709" w:gutter="0"/>
          <w:cols w:space="708"/>
          <w:docGrid w:linePitch="360"/>
        </w:sectPr>
      </w:pPr>
    </w:p>
    <w:p w:rsidR="00334117" w:rsidRPr="005D4C70" w:rsidRDefault="00334117" w:rsidP="007703A1">
      <w:pPr>
        <w:spacing w:line="240" w:lineRule="auto"/>
        <w:ind w:firstLine="0"/>
        <w:jc w:val="center"/>
        <w:rPr>
          <w:rFonts w:cs="Arial"/>
          <w:b/>
          <w:sz w:val="28"/>
          <w:szCs w:val="24"/>
          <w:lang w:val="es-ES"/>
        </w:rPr>
      </w:pPr>
      <w:r w:rsidRPr="005D4C70">
        <w:rPr>
          <w:rFonts w:cs="Arial"/>
          <w:b/>
          <w:sz w:val="28"/>
          <w:szCs w:val="24"/>
          <w:lang w:val="es-ES"/>
        </w:rPr>
        <w:lastRenderedPageBreak/>
        <w:t xml:space="preserve">Evaluación de </w:t>
      </w:r>
      <w:r w:rsidR="000D7EED" w:rsidRPr="005D4C70">
        <w:rPr>
          <w:rFonts w:cs="Arial"/>
          <w:b/>
          <w:sz w:val="28"/>
          <w:szCs w:val="24"/>
          <w:lang w:val="es-ES"/>
        </w:rPr>
        <w:t>m</w:t>
      </w:r>
      <w:r w:rsidRPr="005D4C70">
        <w:rPr>
          <w:rFonts w:cs="Arial"/>
          <w:b/>
          <w:sz w:val="28"/>
          <w:szCs w:val="24"/>
          <w:lang w:val="es-ES"/>
        </w:rPr>
        <w:t xml:space="preserve">ateriales </w:t>
      </w:r>
      <w:r w:rsidR="000D7EED" w:rsidRPr="005D4C70">
        <w:rPr>
          <w:rFonts w:cs="Arial"/>
          <w:b/>
          <w:sz w:val="28"/>
          <w:szCs w:val="24"/>
          <w:lang w:val="es-ES"/>
        </w:rPr>
        <w:t>mesoporosos de sí</w:t>
      </w:r>
      <w:r w:rsidRPr="005D4C70">
        <w:rPr>
          <w:rFonts w:cs="Arial"/>
          <w:b/>
          <w:sz w:val="28"/>
          <w:szCs w:val="24"/>
          <w:lang w:val="es-ES"/>
        </w:rPr>
        <w:t xml:space="preserve">lice </w:t>
      </w:r>
      <w:r w:rsidR="005D4C70">
        <w:rPr>
          <w:rFonts w:cs="Arial"/>
          <w:b/>
          <w:sz w:val="28"/>
          <w:szCs w:val="24"/>
          <w:lang w:val="es-ES"/>
        </w:rPr>
        <w:br/>
      </w:r>
      <w:r w:rsidRPr="005D4C70">
        <w:rPr>
          <w:rFonts w:cs="Arial"/>
          <w:b/>
          <w:sz w:val="28"/>
          <w:szCs w:val="24"/>
          <w:lang w:val="es-ES"/>
        </w:rPr>
        <w:t xml:space="preserve">para </w:t>
      </w:r>
      <w:r w:rsidR="000D7EED" w:rsidRPr="005D4C70">
        <w:rPr>
          <w:rFonts w:cs="Arial"/>
          <w:b/>
          <w:sz w:val="28"/>
          <w:szCs w:val="24"/>
          <w:lang w:val="es-ES"/>
        </w:rPr>
        <w:t>el encapsulado y liberación de d</w:t>
      </w:r>
      <w:r w:rsidRPr="005D4C70">
        <w:rPr>
          <w:rFonts w:cs="Arial"/>
          <w:b/>
          <w:sz w:val="28"/>
          <w:szCs w:val="24"/>
          <w:lang w:val="es-ES"/>
        </w:rPr>
        <w:t xml:space="preserve">ialil </w:t>
      </w:r>
      <w:r w:rsidR="000D7EED" w:rsidRPr="005D4C70">
        <w:rPr>
          <w:rFonts w:cs="Arial"/>
          <w:b/>
          <w:sz w:val="28"/>
          <w:szCs w:val="24"/>
          <w:lang w:val="es-ES"/>
        </w:rPr>
        <w:t>d</w:t>
      </w:r>
      <w:r w:rsidRPr="005D4C70">
        <w:rPr>
          <w:rFonts w:cs="Arial"/>
          <w:b/>
          <w:sz w:val="28"/>
          <w:szCs w:val="24"/>
          <w:lang w:val="es-ES"/>
        </w:rPr>
        <w:t>isulfuro</w:t>
      </w:r>
    </w:p>
    <w:p w:rsidR="00C443E5" w:rsidRDefault="00334117" w:rsidP="007703A1">
      <w:pPr>
        <w:spacing w:after="0" w:line="240" w:lineRule="auto"/>
        <w:ind w:firstLine="0"/>
        <w:jc w:val="center"/>
        <w:rPr>
          <w:rFonts w:cs="Arial"/>
          <w:szCs w:val="24"/>
          <w:vertAlign w:val="superscript"/>
          <w:lang w:val="es-ES"/>
        </w:rPr>
      </w:pPr>
      <w:r>
        <w:rPr>
          <w:rFonts w:cs="Arial"/>
          <w:szCs w:val="24"/>
          <w:lang w:val="es-ES"/>
        </w:rPr>
        <w:t>Miguel Antonio Martínez Domingo</w:t>
      </w:r>
      <w:r>
        <w:rPr>
          <w:rStyle w:val="FootnoteReference"/>
          <w:lang w:val="es-ES"/>
        </w:rPr>
        <w:footnoteReference w:id="1"/>
      </w:r>
      <w:r>
        <w:rPr>
          <w:rFonts w:cs="Arial"/>
          <w:szCs w:val="24"/>
          <w:lang w:val="es-ES"/>
        </w:rPr>
        <w:t>, José M. Barat</w:t>
      </w:r>
      <w:r>
        <w:rPr>
          <w:rFonts w:cs="Arial"/>
          <w:szCs w:val="24"/>
          <w:vertAlign w:val="superscript"/>
          <w:lang w:val="es-ES"/>
        </w:rPr>
        <w:t>1</w:t>
      </w:r>
      <w:r>
        <w:rPr>
          <w:rFonts w:cs="Arial"/>
          <w:szCs w:val="24"/>
          <w:lang w:val="es-ES"/>
        </w:rPr>
        <w:t>, Carolina Acosta</w:t>
      </w:r>
      <w:r w:rsidR="00234195">
        <w:rPr>
          <w:rFonts w:cs="Arial"/>
          <w:szCs w:val="24"/>
          <w:vertAlign w:val="superscript"/>
          <w:lang w:val="es-ES"/>
        </w:rPr>
        <w:t>1</w:t>
      </w:r>
    </w:p>
    <w:p w:rsidR="00234195" w:rsidRPr="00234195" w:rsidRDefault="00234195" w:rsidP="00234195">
      <w:pPr>
        <w:spacing w:after="0" w:line="240" w:lineRule="auto"/>
        <w:ind w:firstLine="0"/>
        <w:rPr>
          <w:rFonts w:cs="Arial"/>
          <w:szCs w:val="24"/>
          <w:vertAlign w:val="superscript"/>
          <w:lang w:val="es-ES"/>
        </w:rPr>
      </w:pPr>
    </w:p>
    <w:p w:rsidR="00334117" w:rsidRDefault="00334117" w:rsidP="00234195">
      <w:pPr>
        <w:pStyle w:val="Heading1"/>
        <w:numPr>
          <w:ilvl w:val="0"/>
          <w:numId w:val="0"/>
        </w:numPr>
        <w:spacing w:line="240" w:lineRule="auto"/>
        <w:rPr>
          <w:lang w:val="es-ES"/>
        </w:rPr>
      </w:pPr>
      <w:bookmarkStart w:id="0" w:name="_Toc429397047"/>
      <w:r w:rsidRPr="00E65E02">
        <w:rPr>
          <w:lang w:val="es-ES"/>
        </w:rPr>
        <w:t>RESUMEN</w:t>
      </w:r>
      <w:bookmarkEnd w:id="0"/>
      <w:r w:rsidRPr="00E65E02">
        <w:rPr>
          <w:lang w:val="es-ES"/>
        </w:rPr>
        <w:t xml:space="preserve"> </w:t>
      </w:r>
    </w:p>
    <w:p w:rsidR="00234195" w:rsidRDefault="00234195" w:rsidP="00234195">
      <w:pPr>
        <w:suppressLineNumbers/>
        <w:spacing w:after="0" w:line="240" w:lineRule="auto"/>
        <w:rPr>
          <w:rFonts w:cs="Arial"/>
          <w:szCs w:val="24"/>
          <w:lang w:val="es-ES"/>
        </w:rPr>
      </w:pPr>
    </w:p>
    <w:p w:rsidR="00274605" w:rsidRPr="003168BC" w:rsidRDefault="00274605" w:rsidP="00234195">
      <w:pPr>
        <w:suppressLineNumbers/>
        <w:spacing w:after="0" w:line="240" w:lineRule="auto"/>
        <w:rPr>
          <w:rFonts w:cs="Arial"/>
          <w:szCs w:val="24"/>
          <w:lang w:val="es-ES"/>
        </w:rPr>
      </w:pPr>
      <w:r w:rsidRPr="003168BC">
        <w:rPr>
          <w:rFonts w:cs="Arial"/>
          <w:szCs w:val="24"/>
          <w:lang w:val="es-ES"/>
        </w:rPr>
        <w:t>Con el auge de los alimentos funcionales, el uso de nuevos materiales y el potencial de los compuestos biocidas se abre una interesante área de investigación y desarrollo para la industria alimentaria. Recientes estudios muestran que el uso de materiales mesoporosos de silica (MSP), además de ser interesantes soportes de encapsulación, ofrecen posibilidades de liberación controlada,  protección a compuestos termo o fotolábiles a la vez que pueden llegar a enmascarar olores. Estas características resultan atractivas para el uso de compuestos lábiles o con fuertes características sensoriales. En el presente proyecto se evalúa la liberación de dialil disulfuro (DADS), derivado del ajo con reconocida actividad biocida. Con el fin de identificar el sistema óptimo de cargado y liberación del DADS se usaron dos diferentes materiales de sílice mesoporosa: MCM-41 y SBA-15. Finalmente, para asegurar la actividad biocida del compuesto tras el encapsulado, se evaluó su capacidad antimicrobiana. Mediante este proyecto, fue posible identificar un material y un sistema de cargado que permitió una óptima liberación del compuesto encapsulado. La evaluación de la actividad antimicrobiana del DADS, tanto en solución como encapsulado se evaluó sobre una cepa de E. Coli K12. Empleando DADS libre en concentraciones superiores a 50mg/ml se logró una completa inhibición, mientras que la liberación de DADS encapsulado logró una disminución de dos unidades logarítmicas del crecimiento de la bacteria. Este proyecto abre las puertas a una interesante vía de control bacteriano con compuestos encapsulados, sin embargo es necesario reevaluar y optimizar el sistema propuesto, de modo que se logre controlar los inconvenientes que se presentaron a lo largo del proyecto.</w:t>
      </w:r>
    </w:p>
    <w:p w:rsidR="00234195" w:rsidRDefault="00234195" w:rsidP="00234195">
      <w:pPr>
        <w:suppressLineNumbers/>
        <w:spacing w:after="0" w:line="240" w:lineRule="auto"/>
        <w:rPr>
          <w:rFonts w:cs="Arial"/>
          <w:szCs w:val="24"/>
          <w:lang w:val="es-ES"/>
        </w:rPr>
      </w:pPr>
    </w:p>
    <w:p w:rsidR="007E6F3E" w:rsidRPr="00AE7395" w:rsidRDefault="007E6F3E" w:rsidP="00234195">
      <w:pPr>
        <w:spacing w:line="240" w:lineRule="auto"/>
        <w:rPr>
          <w:rFonts w:cs="Arial"/>
          <w:szCs w:val="24"/>
          <w:lang w:val="es-ES"/>
        </w:rPr>
      </w:pPr>
      <w:r w:rsidRPr="007E6F3E">
        <w:rPr>
          <w:rFonts w:cs="Arial"/>
          <w:b/>
          <w:szCs w:val="24"/>
          <w:lang w:val="es-ES"/>
        </w:rPr>
        <w:t>Palabras clave</w:t>
      </w:r>
      <w:r>
        <w:rPr>
          <w:rFonts w:cs="Arial"/>
          <w:szCs w:val="24"/>
          <w:lang w:val="es-ES"/>
        </w:rPr>
        <w:t xml:space="preserve">: </w:t>
      </w:r>
      <w:r w:rsidR="00EC5C91">
        <w:rPr>
          <w:rFonts w:cs="Arial"/>
          <w:szCs w:val="24"/>
          <w:lang w:val="es-ES"/>
        </w:rPr>
        <w:t>D</w:t>
      </w:r>
      <w:r>
        <w:rPr>
          <w:rFonts w:cs="Arial"/>
          <w:szCs w:val="24"/>
          <w:lang w:val="es-ES"/>
        </w:rPr>
        <w:t>ialil disulfuro, ajo, antimicrobiano, material mesoporoso, liberación controlada, MCM41, SBA15.</w:t>
      </w:r>
    </w:p>
    <w:p w:rsidR="00334117" w:rsidRPr="004173E1" w:rsidRDefault="00334117" w:rsidP="00234195">
      <w:pPr>
        <w:pStyle w:val="Heading1"/>
        <w:numPr>
          <w:ilvl w:val="0"/>
          <w:numId w:val="0"/>
        </w:numPr>
        <w:tabs>
          <w:tab w:val="left" w:pos="7080"/>
        </w:tabs>
        <w:spacing w:line="240" w:lineRule="auto"/>
        <w:rPr>
          <w:lang w:val="es-ES"/>
        </w:rPr>
      </w:pPr>
      <w:bookmarkStart w:id="1" w:name="_Toc428350199"/>
      <w:bookmarkStart w:id="2" w:name="_Toc428350256"/>
      <w:bookmarkStart w:id="3" w:name="_Toc429397048"/>
      <w:r w:rsidRPr="004173E1">
        <w:rPr>
          <w:lang w:val="es-ES"/>
        </w:rPr>
        <w:t>RESUM</w:t>
      </w:r>
      <w:bookmarkEnd w:id="1"/>
      <w:bookmarkEnd w:id="2"/>
      <w:bookmarkEnd w:id="3"/>
      <w:r w:rsidR="004E05D6" w:rsidRPr="004173E1">
        <w:rPr>
          <w:lang w:val="es-ES"/>
        </w:rPr>
        <w:tab/>
      </w:r>
    </w:p>
    <w:p w:rsidR="00234195" w:rsidRPr="004173E1" w:rsidRDefault="00234195" w:rsidP="00234195">
      <w:pPr>
        <w:spacing w:after="0" w:line="240" w:lineRule="auto"/>
        <w:rPr>
          <w:rFonts w:cs="Arial"/>
          <w:szCs w:val="24"/>
          <w:lang w:val="es-ES"/>
        </w:rPr>
      </w:pPr>
    </w:p>
    <w:p w:rsidR="00234195" w:rsidRPr="006D067A" w:rsidRDefault="00890A3B" w:rsidP="00234195">
      <w:pPr>
        <w:spacing w:after="0" w:line="240" w:lineRule="auto"/>
        <w:rPr>
          <w:rFonts w:cs="Arial"/>
          <w:szCs w:val="24"/>
          <w:lang w:val="ca-ES"/>
        </w:rPr>
      </w:pPr>
      <w:r w:rsidRPr="006D067A">
        <w:rPr>
          <w:rFonts w:cs="Arial"/>
          <w:szCs w:val="24"/>
          <w:lang w:val="ca-ES"/>
        </w:rPr>
        <w:t>Amb l'auge dels aliments funcionals, l'ús de nous materials i el potencial dels compostos biocides, s'obri una interessant àrea d'investigació i desenvolupament per a la indústria alimentària. Recents estudis mostren que l'ús de materials mesoporosos de sílice (MSP), a més de ser interessants suports d'encapsulació, oferixen possibi</w:t>
      </w:r>
      <w:r w:rsidR="006D067A">
        <w:rPr>
          <w:rFonts w:cs="Arial"/>
          <w:szCs w:val="24"/>
          <w:lang w:val="ca-ES"/>
        </w:rPr>
        <w:t xml:space="preserve">litats d'alliberament controlat, </w:t>
      </w:r>
      <w:r w:rsidR="006D067A">
        <w:rPr>
          <w:rFonts w:cs="Arial"/>
          <w:szCs w:val="24"/>
          <w:lang w:val="ca-ES"/>
        </w:rPr>
        <w:lastRenderedPageBreak/>
        <w:t>protecció a compostos termo o fotolàbil</w:t>
      </w:r>
      <w:r w:rsidRPr="006D067A">
        <w:rPr>
          <w:rFonts w:cs="Arial"/>
          <w:szCs w:val="24"/>
          <w:lang w:val="ca-ES"/>
        </w:rPr>
        <w:t>s, al mateix temps que poden arribar a emmascarar olors. Estes característiques resulten atractives per a l'ús de compostos làbils o amb fort</w:t>
      </w:r>
      <w:r w:rsidR="006D067A">
        <w:rPr>
          <w:rFonts w:cs="Arial"/>
          <w:szCs w:val="24"/>
          <w:lang w:val="ca-ES"/>
        </w:rPr>
        <w:t>e</w:t>
      </w:r>
      <w:r w:rsidRPr="006D067A">
        <w:rPr>
          <w:rFonts w:cs="Arial"/>
          <w:szCs w:val="24"/>
          <w:lang w:val="ca-ES"/>
        </w:rPr>
        <w:t>s característiques sensorials. Este projecte va avaluar l'alliberament de dialil disulfur (DADS), derivat de l'all, amb reconeguda activitat biocida. A fi d'identificar el sistema òptim de carregat i alliberament del DADS, es van usar dos diversos materials de sílice mesoporosa: MCM-41 i SBA-15. Finalment</w:t>
      </w:r>
      <w:r w:rsidR="001C1166">
        <w:rPr>
          <w:rFonts w:cs="Arial"/>
          <w:szCs w:val="24"/>
          <w:lang w:val="ca-ES"/>
        </w:rPr>
        <w:t>, per assegurar l'activitat bio</w:t>
      </w:r>
      <w:r w:rsidRPr="006D067A">
        <w:rPr>
          <w:rFonts w:cs="Arial"/>
          <w:szCs w:val="24"/>
          <w:lang w:val="ca-ES"/>
        </w:rPr>
        <w:t xml:space="preserve">cida del compost després de l'encapsulació, es va avaluar la seua capacitat antimicrobiana. Per mitjà d'este projecte, va ser possible identificar un material i un sistema de carregat que va permetre un òptim alliberament del compost encapsulat. L'avaluació de l'activitat antimicrobiana del DADS, tant en solució com encapsulat es va avaluar sobre un cep </w:t>
      </w:r>
      <w:r w:rsidRPr="006D067A">
        <w:rPr>
          <w:rFonts w:cs="Arial"/>
          <w:i/>
          <w:szCs w:val="24"/>
          <w:lang w:val="ca-ES"/>
        </w:rPr>
        <w:t>E. Coli</w:t>
      </w:r>
      <w:r w:rsidRPr="006D067A">
        <w:rPr>
          <w:rFonts w:cs="Arial"/>
          <w:szCs w:val="24"/>
          <w:lang w:val="ca-ES"/>
        </w:rPr>
        <w:t xml:space="preserve"> K12. Emprant DADS lliure en concentracions superiors a 50mg/ml es va aconseguir una completa inhibició, mentres que l'alliberament de DADS encapsulat va aconseguir una disminució de dos unitats logarítmiques del creixement del bacteri. Este projecte obri les portes a un interessant estudi de control bac</w:t>
      </w:r>
      <w:r w:rsidR="001C1166">
        <w:rPr>
          <w:rFonts w:cs="Arial"/>
          <w:szCs w:val="24"/>
          <w:lang w:val="ca-ES"/>
        </w:rPr>
        <w:t>terià amb compostos encapsulats.</w:t>
      </w:r>
      <w:r w:rsidRPr="006D067A">
        <w:rPr>
          <w:rFonts w:cs="Arial"/>
          <w:szCs w:val="24"/>
          <w:lang w:val="ca-ES"/>
        </w:rPr>
        <w:t xml:space="preserve"> </w:t>
      </w:r>
      <w:r w:rsidR="001C1166">
        <w:rPr>
          <w:rFonts w:cs="Arial"/>
          <w:szCs w:val="24"/>
          <w:lang w:val="ca-ES"/>
        </w:rPr>
        <w:t>N</w:t>
      </w:r>
      <w:r w:rsidRPr="006D067A">
        <w:rPr>
          <w:rFonts w:cs="Arial"/>
          <w:szCs w:val="24"/>
          <w:lang w:val="ca-ES"/>
        </w:rPr>
        <w:t>o obstant aixó, és necessari reavaluar i optimitzar el sistema proposat, de manera que s'aconseguisca controlar els inconvenients que es va presentar al llarg del projecte.</w:t>
      </w:r>
    </w:p>
    <w:p w:rsidR="00890A3B" w:rsidRPr="00890A3B" w:rsidRDefault="00890A3B" w:rsidP="00234195">
      <w:pPr>
        <w:spacing w:after="0" w:line="240" w:lineRule="auto"/>
        <w:rPr>
          <w:rFonts w:cs="Arial"/>
          <w:szCs w:val="24"/>
          <w:lang w:val="es-ES"/>
        </w:rPr>
      </w:pPr>
    </w:p>
    <w:p w:rsidR="007E6F3E" w:rsidRPr="004173E1" w:rsidRDefault="007E6F3E" w:rsidP="00234195">
      <w:pPr>
        <w:spacing w:after="0" w:line="240" w:lineRule="auto"/>
        <w:rPr>
          <w:rFonts w:cs="Arial"/>
          <w:szCs w:val="24"/>
          <w:lang w:val="es-ES"/>
        </w:rPr>
      </w:pPr>
      <w:r w:rsidRPr="004173E1">
        <w:rPr>
          <w:rFonts w:cs="Arial"/>
          <w:b/>
          <w:szCs w:val="24"/>
          <w:lang w:val="es-ES"/>
        </w:rPr>
        <w:t>Pa</w:t>
      </w:r>
      <w:r w:rsidR="0030046C" w:rsidRPr="004173E1">
        <w:rPr>
          <w:rFonts w:cs="Arial"/>
          <w:b/>
          <w:szCs w:val="24"/>
          <w:lang w:val="es-ES"/>
        </w:rPr>
        <w:t>raules clau</w:t>
      </w:r>
      <w:r w:rsidRPr="004173E1">
        <w:rPr>
          <w:rFonts w:cs="Arial"/>
          <w:b/>
          <w:szCs w:val="24"/>
          <w:lang w:val="es-ES"/>
        </w:rPr>
        <w:t>:</w:t>
      </w:r>
      <w:r w:rsidR="004E05D6" w:rsidRPr="004173E1">
        <w:rPr>
          <w:rFonts w:cs="Arial"/>
          <w:b/>
          <w:szCs w:val="24"/>
          <w:lang w:val="es-ES"/>
        </w:rPr>
        <w:t xml:space="preserve"> </w:t>
      </w:r>
      <w:r w:rsidR="004E05D6" w:rsidRPr="004173E1">
        <w:rPr>
          <w:rFonts w:cs="Arial"/>
          <w:szCs w:val="24"/>
          <w:lang w:val="es-ES"/>
        </w:rPr>
        <w:t>dialil disulfur, all, antimicrobià, material mesoporós, alliberació controlada, MCM41, SBA15.</w:t>
      </w:r>
    </w:p>
    <w:p w:rsidR="00334117" w:rsidRPr="00143D07" w:rsidRDefault="00334117" w:rsidP="00234195">
      <w:pPr>
        <w:pStyle w:val="Heading1"/>
        <w:numPr>
          <w:ilvl w:val="0"/>
          <w:numId w:val="0"/>
        </w:numPr>
        <w:spacing w:line="240" w:lineRule="auto"/>
        <w:rPr>
          <w:lang w:val="en-US"/>
        </w:rPr>
      </w:pPr>
      <w:bookmarkStart w:id="4" w:name="_Toc428350200"/>
      <w:bookmarkStart w:id="5" w:name="_Toc428350257"/>
      <w:bookmarkStart w:id="6" w:name="_Toc429397049"/>
      <w:r w:rsidRPr="00143D07">
        <w:rPr>
          <w:lang w:val="en-US"/>
        </w:rPr>
        <w:t>ABSTRACT</w:t>
      </w:r>
      <w:bookmarkEnd w:id="4"/>
      <w:bookmarkEnd w:id="5"/>
      <w:bookmarkEnd w:id="6"/>
    </w:p>
    <w:p w:rsidR="00234195" w:rsidRPr="00143D07" w:rsidRDefault="00234195" w:rsidP="00234195">
      <w:pPr>
        <w:spacing w:after="0" w:line="240" w:lineRule="auto"/>
        <w:rPr>
          <w:rFonts w:cs="Arial"/>
          <w:szCs w:val="24"/>
          <w:highlight w:val="yellow"/>
          <w:lang w:val="en-US"/>
        </w:rPr>
      </w:pPr>
    </w:p>
    <w:p w:rsidR="00334117" w:rsidRPr="000821AF" w:rsidRDefault="00114138" w:rsidP="0051088D">
      <w:pPr>
        <w:spacing w:after="0" w:line="240" w:lineRule="auto"/>
        <w:rPr>
          <w:rFonts w:cs="Arial"/>
          <w:szCs w:val="24"/>
        </w:rPr>
      </w:pPr>
      <w:r w:rsidRPr="000821AF">
        <w:rPr>
          <w:rFonts w:cs="Arial"/>
          <w:szCs w:val="24"/>
        </w:rPr>
        <w:t>The</w:t>
      </w:r>
      <w:r w:rsidR="00ED0606" w:rsidRPr="000821AF">
        <w:rPr>
          <w:rFonts w:cs="Arial"/>
          <w:szCs w:val="24"/>
        </w:rPr>
        <w:t xml:space="preserve"> </w:t>
      </w:r>
      <w:r w:rsidRPr="000821AF">
        <w:rPr>
          <w:rFonts w:cs="Arial"/>
          <w:szCs w:val="24"/>
        </w:rPr>
        <w:t>use</w:t>
      </w:r>
      <w:r w:rsidR="00ED0606" w:rsidRPr="000821AF">
        <w:rPr>
          <w:rFonts w:cs="Arial"/>
          <w:szCs w:val="24"/>
        </w:rPr>
        <w:t xml:space="preserve"> of new materials </w:t>
      </w:r>
      <w:r w:rsidRPr="000821AF">
        <w:rPr>
          <w:rFonts w:cs="Arial"/>
          <w:szCs w:val="24"/>
        </w:rPr>
        <w:t xml:space="preserve">for food applications </w:t>
      </w:r>
      <w:r w:rsidR="00ED0606" w:rsidRPr="000821AF">
        <w:rPr>
          <w:rFonts w:cs="Arial"/>
          <w:szCs w:val="24"/>
        </w:rPr>
        <w:t xml:space="preserve">and the antimicrobial </w:t>
      </w:r>
      <w:r w:rsidRPr="000821AF">
        <w:rPr>
          <w:rFonts w:cs="Arial"/>
          <w:szCs w:val="24"/>
        </w:rPr>
        <w:t xml:space="preserve">potential of different compounds open </w:t>
      </w:r>
      <w:r w:rsidR="00ED0606" w:rsidRPr="000821AF">
        <w:rPr>
          <w:rFonts w:cs="Arial"/>
          <w:szCs w:val="24"/>
        </w:rPr>
        <w:t xml:space="preserve">a new and interesting </w:t>
      </w:r>
      <w:r w:rsidRPr="000821AF">
        <w:rPr>
          <w:rFonts w:cs="Arial"/>
          <w:szCs w:val="24"/>
        </w:rPr>
        <w:t>research area</w:t>
      </w:r>
      <w:r w:rsidR="00ED0606" w:rsidRPr="000821AF">
        <w:rPr>
          <w:rFonts w:cs="Arial"/>
          <w:szCs w:val="24"/>
        </w:rPr>
        <w:t>. Recent</w:t>
      </w:r>
      <w:r w:rsidR="00334117" w:rsidRPr="000821AF">
        <w:rPr>
          <w:rFonts w:cs="Arial"/>
          <w:szCs w:val="24"/>
        </w:rPr>
        <w:t xml:space="preserve"> </w:t>
      </w:r>
      <w:r w:rsidRPr="000821AF">
        <w:rPr>
          <w:rFonts w:cs="Arial"/>
          <w:szCs w:val="24"/>
        </w:rPr>
        <w:t>studies</w:t>
      </w:r>
      <w:r w:rsidR="00334117" w:rsidRPr="000821AF">
        <w:rPr>
          <w:rFonts w:cs="Arial"/>
          <w:szCs w:val="24"/>
        </w:rPr>
        <w:t xml:space="preserve"> </w:t>
      </w:r>
      <w:r w:rsidR="00A266AF" w:rsidRPr="000821AF">
        <w:rPr>
          <w:rFonts w:cs="Arial"/>
          <w:szCs w:val="24"/>
        </w:rPr>
        <w:t>o</w:t>
      </w:r>
      <w:r w:rsidR="00ED0606" w:rsidRPr="000821AF">
        <w:rPr>
          <w:rFonts w:cs="Arial"/>
          <w:szCs w:val="24"/>
        </w:rPr>
        <w:t xml:space="preserve">n </w:t>
      </w:r>
      <w:r w:rsidR="00A266AF" w:rsidRPr="000821AF">
        <w:rPr>
          <w:rFonts w:cs="Arial"/>
          <w:szCs w:val="24"/>
        </w:rPr>
        <w:t>mesoporous silica-based materials</w:t>
      </w:r>
      <w:r w:rsidRPr="000821AF">
        <w:rPr>
          <w:rFonts w:cs="Arial"/>
          <w:szCs w:val="24"/>
        </w:rPr>
        <w:t xml:space="preserve"> (MSP)</w:t>
      </w:r>
      <w:r w:rsidR="00A266AF" w:rsidRPr="000821AF">
        <w:rPr>
          <w:rFonts w:cs="Arial"/>
          <w:szCs w:val="24"/>
        </w:rPr>
        <w:t xml:space="preserve"> have shown them as interesting carriers</w:t>
      </w:r>
      <w:r w:rsidRPr="000821AF">
        <w:rPr>
          <w:rFonts w:cs="Arial"/>
          <w:szCs w:val="24"/>
        </w:rPr>
        <w:t>,</w:t>
      </w:r>
      <w:r w:rsidR="00A266AF" w:rsidRPr="000821AF">
        <w:rPr>
          <w:rFonts w:cs="Arial"/>
          <w:szCs w:val="24"/>
        </w:rPr>
        <w:t xml:space="preserve"> </w:t>
      </w:r>
      <w:r w:rsidRPr="000821AF">
        <w:rPr>
          <w:rFonts w:cs="Arial"/>
          <w:szCs w:val="24"/>
        </w:rPr>
        <w:t xml:space="preserve">MSP are </w:t>
      </w:r>
      <w:r w:rsidR="00A266AF" w:rsidRPr="000821AF">
        <w:rPr>
          <w:rFonts w:cs="Arial"/>
          <w:szCs w:val="24"/>
        </w:rPr>
        <w:t>able to perform</w:t>
      </w:r>
      <w:r w:rsidR="00334117" w:rsidRPr="000821AF">
        <w:rPr>
          <w:rFonts w:cs="Arial"/>
          <w:szCs w:val="24"/>
        </w:rPr>
        <w:t xml:space="preserve"> controlled release of substances</w:t>
      </w:r>
      <w:r w:rsidR="00A266AF" w:rsidRPr="000821AF">
        <w:rPr>
          <w:rFonts w:cs="Arial"/>
          <w:szCs w:val="24"/>
        </w:rPr>
        <w:t xml:space="preserve">, </w:t>
      </w:r>
      <w:r w:rsidRPr="000821AF">
        <w:rPr>
          <w:rFonts w:cs="Arial"/>
          <w:szCs w:val="24"/>
        </w:rPr>
        <w:t xml:space="preserve">and </w:t>
      </w:r>
      <w:r w:rsidR="00334117" w:rsidRPr="000821AF">
        <w:rPr>
          <w:rFonts w:cs="Arial"/>
          <w:szCs w:val="24"/>
        </w:rPr>
        <w:t xml:space="preserve">preserve </w:t>
      </w:r>
      <w:r w:rsidRPr="000821AF">
        <w:rPr>
          <w:rFonts w:cs="Arial"/>
          <w:szCs w:val="24"/>
        </w:rPr>
        <w:t>compounds</w:t>
      </w:r>
      <w:r w:rsidR="00A266AF" w:rsidRPr="000821AF">
        <w:rPr>
          <w:rFonts w:cs="Arial"/>
          <w:szCs w:val="24"/>
        </w:rPr>
        <w:t xml:space="preserve"> </w:t>
      </w:r>
      <w:r w:rsidR="00334117" w:rsidRPr="000821AF">
        <w:rPr>
          <w:rFonts w:cs="Arial"/>
          <w:szCs w:val="24"/>
        </w:rPr>
        <w:t>from light and high temperatures</w:t>
      </w:r>
      <w:r w:rsidR="00A266AF" w:rsidRPr="000821AF">
        <w:rPr>
          <w:rFonts w:cs="Arial"/>
          <w:szCs w:val="24"/>
        </w:rPr>
        <w:t>.</w:t>
      </w:r>
      <w:r w:rsidR="008B1375" w:rsidRPr="000821AF">
        <w:rPr>
          <w:rFonts w:cs="Arial"/>
          <w:szCs w:val="24"/>
        </w:rPr>
        <w:t xml:space="preserve"> </w:t>
      </w:r>
      <w:r w:rsidRPr="000821AF">
        <w:rPr>
          <w:rFonts w:cs="Arial"/>
          <w:szCs w:val="24"/>
        </w:rPr>
        <w:t>These features</w:t>
      </w:r>
      <w:r w:rsidR="008B1375" w:rsidRPr="000821AF">
        <w:rPr>
          <w:rFonts w:cs="Arial"/>
          <w:szCs w:val="24"/>
        </w:rPr>
        <w:t xml:space="preserve"> are interesting to encapsulate labile compounds. This project evaluated the release of diallyl disulphide (DADS), garlic derived biocide. Aiming to identify an optimal loading and release system of DADS two different materials were used, MCM-41 and SBA-15. Finally, to ensure </w:t>
      </w:r>
      <w:r w:rsidRPr="000821AF">
        <w:rPr>
          <w:rFonts w:cs="Arial"/>
          <w:szCs w:val="24"/>
        </w:rPr>
        <w:t>th</w:t>
      </w:r>
      <w:r w:rsidR="008B1375" w:rsidRPr="000821AF">
        <w:rPr>
          <w:rFonts w:cs="Arial"/>
          <w:szCs w:val="24"/>
        </w:rPr>
        <w:t>e biocide activity of the encapsulated compound</w:t>
      </w:r>
      <w:r w:rsidR="00856779" w:rsidRPr="000821AF">
        <w:rPr>
          <w:rFonts w:cs="Arial"/>
          <w:szCs w:val="24"/>
        </w:rPr>
        <w:t>,</w:t>
      </w:r>
      <w:r w:rsidR="008B1375" w:rsidRPr="000821AF">
        <w:rPr>
          <w:rFonts w:cs="Arial"/>
          <w:szCs w:val="24"/>
        </w:rPr>
        <w:t xml:space="preserve"> an analys</w:t>
      </w:r>
      <w:r w:rsidR="00856779" w:rsidRPr="000821AF">
        <w:rPr>
          <w:rFonts w:cs="Arial"/>
          <w:szCs w:val="24"/>
        </w:rPr>
        <w:t>is</w:t>
      </w:r>
      <w:r w:rsidR="008B1375" w:rsidRPr="000821AF">
        <w:rPr>
          <w:rFonts w:cs="Arial"/>
          <w:szCs w:val="24"/>
        </w:rPr>
        <w:t xml:space="preserve"> of its </w:t>
      </w:r>
      <w:r w:rsidR="00856779" w:rsidRPr="000821AF">
        <w:rPr>
          <w:rFonts w:cs="Arial"/>
          <w:szCs w:val="24"/>
        </w:rPr>
        <w:t>antimicrobial</w:t>
      </w:r>
      <w:r w:rsidR="008B1375" w:rsidRPr="000821AF">
        <w:rPr>
          <w:rFonts w:cs="Arial"/>
          <w:szCs w:val="24"/>
        </w:rPr>
        <w:t xml:space="preserve"> effects was performed</w:t>
      </w:r>
      <w:r w:rsidRPr="000821AF">
        <w:rPr>
          <w:rFonts w:cs="Arial"/>
          <w:szCs w:val="24"/>
        </w:rPr>
        <w:t xml:space="preserve"> on </w:t>
      </w:r>
      <w:r w:rsidRPr="000821AF">
        <w:rPr>
          <w:rFonts w:cs="Arial"/>
          <w:i/>
          <w:szCs w:val="24"/>
        </w:rPr>
        <w:t>E coli</w:t>
      </w:r>
      <w:r w:rsidR="008B1375" w:rsidRPr="000821AF">
        <w:rPr>
          <w:rFonts w:cs="Arial"/>
          <w:szCs w:val="24"/>
        </w:rPr>
        <w:t>. This research identified a</w:t>
      </w:r>
      <w:r w:rsidRPr="000821AF">
        <w:rPr>
          <w:rFonts w:cs="Arial"/>
          <w:szCs w:val="24"/>
        </w:rPr>
        <w:t>n optimal</w:t>
      </w:r>
      <w:r w:rsidR="008B1375" w:rsidRPr="000821AF">
        <w:rPr>
          <w:rFonts w:cs="Arial"/>
          <w:szCs w:val="24"/>
        </w:rPr>
        <w:t xml:space="preserve"> material and loading system </w:t>
      </w:r>
      <w:r w:rsidRPr="000821AF">
        <w:rPr>
          <w:rFonts w:cs="Arial"/>
          <w:szCs w:val="24"/>
        </w:rPr>
        <w:t>for DADS</w:t>
      </w:r>
      <w:r w:rsidR="008B1375" w:rsidRPr="000821AF">
        <w:rPr>
          <w:rFonts w:cs="Arial"/>
          <w:szCs w:val="24"/>
        </w:rPr>
        <w:t>.</w:t>
      </w:r>
      <w:r w:rsidR="0051088D" w:rsidRPr="000821AF">
        <w:rPr>
          <w:rFonts w:cs="Arial"/>
          <w:szCs w:val="24"/>
        </w:rPr>
        <w:t xml:space="preserve"> Otherwise, the antimicrobial activity of DADS was confirmed in both encapsulated and free form. </w:t>
      </w:r>
      <w:r w:rsidR="0051088D" w:rsidRPr="000821AF">
        <w:rPr>
          <w:rFonts w:cs="Arial"/>
          <w:i/>
          <w:szCs w:val="24"/>
        </w:rPr>
        <w:t>E. coli</w:t>
      </w:r>
      <w:r w:rsidR="0051088D" w:rsidRPr="000821AF">
        <w:rPr>
          <w:rFonts w:cs="Arial"/>
          <w:szCs w:val="24"/>
        </w:rPr>
        <w:t xml:space="preserve"> growth was completely inhibited beyond 50 mg/mL of DADS. </w:t>
      </w:r>
      <w:r w:rsidR="008B2C4F" w:rsidRPr="000821AF">
        <w:rPr>
          <w:rFonts w:cs="Arial"/>
          <w:szCs w:val="24"/>
        </w:rPr>
        <w:t>This project opens up an interesting study of bacterial control with encapsulated compounds, h</w:t>
      </w:r>
      <w:r w:rsidR="0051088D" w:rsidRPr="000821AF">
        <w:rPr>
          <w:rFonts w:cs="Arial"/>
          <w:szCs w:val="24"/>
        </w:rPr>
        <w:t>owever</w:t>
      </w:r>
      <w:r w:rsidR="00856779" w:rsidRPr="000821AF">
        <w:rPr>
          <w:rFonts w:cs="Arial"/>
          <w:szCs w:val="24"/>
        </w:rPr>
        <w:t>, it</w:t>
      </w:r>
      <w:r w:rsidR="0051088D" w:rsidRPr="000821AF">
        <w:rPr>
          <w:rFonts w:cs="Arial"/>
          <w:szCs w:val="24"/>
        </w:rPr>
        <w:t xml:space="preserve"> is necessary to revaluate the system to </w:t>
      </w:r>
      <w:r w:rsidR="00856779" w:rsidRPr="000821AF">
        <w:rPr>
          <w:rFonts w:cs="Arial"/>
          <w:szCs w:val="24"/>
        </w:rPr>
        <w:t>solve</w:t>
      </w:r>
      <w:r w:rsidR="0051088D" w:rsidRPr="000821AF">
        <w:rPr>
          <w:rFonts w:cs="Arial"/>
          <w:szCs w:val="24"/>
        </w:rPr>
        <w:t xml:space="preserve"> the drawbacks encountered. </w:t>
      </w:r>
    </w:p>
    <w:p w:rsidR="00234195" w:rsidRPr="001F5BE4" w:rsidRDefault="00234195" w:rsidP="00234195">
      <w:pPr>
        <w:spacing w:line="240" w:lineRule="auto"/>
        <w:rPr>
          <w:rFonts w:cs="Arial"/>
          <w:b/>
          <w:szCs w:val="24"/>
          <w:lang w:val="en-US"/>
        </w:rPr>
      </w:pPr>
    </w:p>
    <w:p w:rsidR="007E6F3E" w:rsidRPr="00BB5CE9" w:rsidRDefault="007E6F3E" w:rsidP="00234195">
      <w:pPr>
        <w:spacing w:line="240" w:lineRule="auto"/>
        <w:rPr>
          <w:rFonts w:cs="Arial"/>
          <w:szCs w:val="24"/>
        </w:rPr>
      </w:pPr>
      <w:r w:rsidRPr="00BB5CE9">
        <w:rPr>
          <w:rFonts w:cs="Arial"/>
          <w:b/>
          <w:szCs w:val="24"/>
        </w:rPr>
        <w:t>Keywords:</w:t>
      </w:r>
      <w:r w:rsidR="004E05D6" w:rsidRPr="00BB5CE9">
        <w:rPr>
          <w:rFonts w:cs="Arial"/>
          <w:b/>
          <w:szCs w:val="24"/>
        </w:rPr>
        <w:t xml:space="preserve"> </w:t>
      </w:r>
      <w:r w:rsidR="008B1375">
        <w:rPr>
          <w:rFonts w:cs="Arial"/>
          <w:szCs w:val="24"/>
        </w:rPr>
        <w:t>di</w:t>
      </w:r>
      <w:r w:rsidR="004E05D6" w:rsidRPr="00BB5CE9">
        <w:rPr>
          <w:rFonts w:cs="Arial"/>
          <w:szCs w:val="24"/>
        </w:rPr>
        <w:t>all</w:t>
      </w:r>
      <w:r w:rsidR="008B1375">
        <w:rPr>
          <w:rFonts w:cs="Arial"/>
          <w:szCs w:val="24"/>
        </w:rPr>
        <w:t>yl disulph</w:t>
      </w:r>
      <w:r w:rsidR="004E05D6" w:rsidRPr="00BB5CE9">
        <w:rPr>
          <w:rFonts w:cs="Arial"/>
          <w:szCs w:val="24"/>
        </w:rPr>
        <w:t xml:space="preserve">ide, garlic, biocide, mesoporous material, controlled </w:t>
      </w:r>
      <w:r w:rsidR="008B1375" w:rsidRPr="00BB5CE9">
        <w:rPr>
          <w:rFonts w:cs="Arial"/>
          <w:szCs w:val="24"/>
        </w:rPr>
        <w:t>release</w:t>
      </w:r>
      <w:r w:rsidR="004E05D6" w:rsidRPr="00BB5CE9">
        <w:rPr>
          <w:rFonts w:cs="Arial"/>
          <w:szCs w:val="24"/>
        </w:rPr>
        <w:t>, MCM41, SBA15.</w:t>
      </w:r>
    </w:p>
    <w:p w:rsidR="009E4A35" w:rsidRDefault="00334117" w:rsidP="00890A3B">
      <w:pPr>
        <w:spacing w:line="240" w:lineRule="auto"/>
        <w:ind w:firstLine="0"/>
        <w:jc w:val="center"/>
        <w:rPr>
          <w:rFonts w:cs="Arial"/>
          <w:b/>
          <w:lang w:val="es-ES"/>
        </w:rPr>
      </w:pPr>
      <w:r w:rsidRPr="004E05D6">
        <w:rPr>
          <w:rFonts w:cs="Arial"/>
          <w:szCs w:val="24"/>
        </w:rPr>
        <w:br w:type="page"/>
      </w:r>
      <w:bookmarkStart w:id="7" w:name="_Toc428350201"/>
      <w:r w:rsidR="009E4A35" w:rsidRPr="000821AF">
        <w:rPr>
          <w:rFonts w:cs="Arial"/>
          <w:b/>
          <w:lang w:val="es-ES"/>
        </w:rPr>
        <w:lastRenderedPageBreak/>
        <w:t>CONTENIDO</w:t>
      </w:r>
    </w:p>
    <w:p w:rsidR="00FC545E" w:rsidRPr="000821AF" w:rsidRDefault="00FC545E" w:rsidP="00890A3B">
      <w:pPr>
        <w:spacing w:line="240" w:lineRule="auto"/>
        <w:ind w:firstLine="0"/>
        <w:jc w:val="center"/>
        <w:rPr>
          <w:rFonts w:cs="Arial"/>
          <w:b/>
          <w:lang w:val="es-ES"/>
        </w:rPr>
      </w:pPr>
    </w:p>
    <w:p w:rsidR="001F5BE4" w:rsidRPr="001F5BE4" w:rsidRDefault="009E4A35" w:rsidP="001F5BE4">
      <w:pPr>
        <w:pStyle w:val="TOC1"/>
        <w:tabs>
          <w:tab w:val="right" w:pos="8210"/>
        </w:tabs>
        <w:spacing w:line="240" w:lineRule="auto"/>
        <w:rPr>
          <w:rFonts w:ascii="Arial" w:eastAsiaTheme="minorEastAsia" w:hAnsi="Arial" w:cs="Arial"/>
          <w:b w:val="0"/>
          <w:bCs w:val="0"/>
          <w:caps w:val="0"/>
          <w:noProof/>
          <w:sz w:val="20"/>
          <w:szCs w:val="20"/>
          <w:lang w:val="es-ES" w:eastAsia="es-ES"/>
        </w:rPr>
      </w:pPr>
      <w:r w:rsidRPr="001F5BE4">
        <w:rPr>
          <w:rFonts w:ascii="Arial" w:hAnsi="Arial" w:cs="Arial"/>
          <w:b w:val="0"/>
          <w:bCs w:val="0"/>
          <w:caps w:val="0"/>
          <w:sz w:val="20"/>
          <w:szCs w:val="20"/>
          <w:lang w:val="es-ES"/>
        </w:rPr>
        <w:fldChar w:fldCharType="begin"/>
      </w:r>
      <w:r w:rsidRPr="001F5BE4">
        <w:rPr>
          <w:rFonts w:ascii="Arial" w:hAnsi="Arial" w:cs="Arial"/>
          <w:b w:val="0"/>
          <w:bCs w:val="0"/>
          <w:caps w:val="0"/>
          <w:sz w:val="20"/>
          <w:szCs w:val="20"/>
          <w:lang w:val="es-ES"/>
        </w:rPr>
        <w:instrText xml:space="preserve"> TOC \o "1-4" \h \z \u </w:instrText>
      </w:r>
      <w:r w:rsidRPr="001F5BE4">
        <w:rPr>
          <w:rFonts w:ascii="Arial" w:hAnsi="Arial" w:cs="Arial"/>
          <w:b w:val="0"/>
          <w:bCs w:val="0"/>
          <w:caps w:val="0"/>
          <w:sz w:val="20"/>
          <w:szCs w:val="20"/>
          <w:lang w:val="es-ES"/>
        </w:rPr>
        <w:fldChar w:fldCharType="separate"/>
      </w:r>
      <w:hyperlink w:anchor="_Toc429397047" w:history="1">
        <w:r w:rsidR="001F5BE4" w:rsidRPr="001F5BE4">
          <w:rPr>
            <w:rStyle w:val="Hyperlink"/>
            <w:rFonts w:ascii="Arial" w:hAnsi="Arial" w:cs="Arial"/>
            <w:noProof/>
            <w:sz w:val="20"/>
            <w:szCs w:val="20"/>
            <w:lang w:val="es-ES"/>
          </w:rPr>
          <w:t>RESUMEN</w:t>
        </w:r>
        <w:r w:rsidR="001F5BE4" w:rsidRPr="001F5BE4">
          <w:rPr>
            <w:rFonts w:ascii="Arial" w:hAnsi="Arial" w:cs="Arial"/>
            <w:noProof/>
            <w:webHidden/>
            <w:sz w:val="20"/>
            <w:szCs w:val="20"/>
          </w:rPr>
          <w:tab/>
        </w:r>
        <w:r w:rsidR="001F5BE4" w:rsidRPr="001F5BE4">
          <w:rPr>
            <w:rFonts w:ascii="Arial" w:hAnsi="Arial" w:cs="Arial"/>
            <w:noProof/>
            <w:webHidden/>
            <w:sz w:val="20"/>
            <w:szCs w:val="20"/>
          </w:rPr>
          <w:fldChar w:fldCharType="begin"/>
        </w:r>
        <w:r w:rsidR="001F5BE4" w:rsidRPr="001F5BE4">
          <w:rPr>
            <w:rFonts w:ascii="Arial" w:hAnsi="Arial" w:cs="Arial"/>
            <w:noProof/>
            <w:webHidden/>
            <w:sz w:val="20"/>
            <w:szCs w:val="20"/>
          </w:rPr>
          <w:instrText xml:space="preserve"> PAGEREF _Toc429397047 \h </w:instrText>
        </w:r>
        <w:r w:rsidR="001F5BE4" w:rsidRPr="001F5BE4">
          <w:rPr>
            <w:rFonts w:ascii="Arial" w:hAnsi="Arial" w:cs="Arial"/>
            <w:noProof/>
            <w:webHidden/>
            <w:sz w:val="20"/>
            <w:szCs w:val="20"/>
          </w:rPr>
        </w:r>
        <w:r w:rsidR="001F5BE4" w:rsidRPr="001F5BE4">
          <w:rPr>
            <w:rFonts w:ascii="Arial" w:hAnsi="Arial" w:cs="Arial"/>
            <w:noProof/>
            <w:webHidden/>
            <w:sz w:val="20"/>
            <w:szCs w:val="20"/>
          </w:rPr>
          <w:fldChar w:fldCharType="separate"/>
        </w:r>
        <w:r w:rsidR="001F5BE4" w:rsidRPr="001F5BE4">
          <w:rPr>
            <w:rFonts w:ascii="Arial" w:hAnsi="Arial" w:cs="Arial"/>
            <w:noProof/>
            <w:webHidden/>
            <w:sz w:val="20"/>
            <w:szCs w:val="20"/>
          </w:rPr>
          <w:t>1</w:t>
        </w:r>
        <w:r w:rsidR="001F5BE4" w:rsidRPr="001F5BE4">
          <w:rPr>
            <w:rFonts w:ascii="Arial" w:hAnsi="Arial" w:cs="Arial"/>
            <w:noProof/>
            <w:webHidden/>
            <w:sz w:val="20"/>
            <w:szCs w:val="20"/>
          </w:rPr>
          <w:fldChar w:fldCharType="end"/>
        </w:r>
      </w:hyperlink>
    </w:p>
    <w:p w:rsidR="001F5BE4" w:rsidRPr="001F5BE4" w:rsidRDefault="00961F8F" w:rsidP="001F5BE4">
      <w:pPr>
        <w:pStyle w:val="TOC1"/>
        <w:tabs>
          <w:tab w:val="right" w:pos="8210"/>
        </w:tabs>
        <w:spacing w:line="240" w:lineRule="auto"/>
        <w:rPr>
          <w:rFonts w:ascii="Arial" w:eastAsiaTheme="minorEastAsia" w:hAnsi="Arial" w:cs="Arial"/>
          <w:b w:val="0"/>
          <w:bCs w:val="0"/>
          <w:caps w:val="0"/>
          <w:noProof/>
          <w:sz w:val="20"/>
          <w:szCs w:val="20"/>
          <w:lang w:val="es-ES" w:eastAsia="es-ES"/>
        </w:rPr>
      </w:pPr>
      <w:hyperlink w:anchor="_Toc429397048" w:history="1">
        <w:r w:rsidR="001F5BE4" w:rsidRPr="001F5BE4">
          <w:rPr>
            <w:rStyle w:val="Hyperlink"/>
            <w:rFonts w:ascii="Arial" w:hAnsi="Arial" w:cs="Arial"/>
            <w:noProof/>
            <w:sz w:val="20"/>
            <w:szCs w:val="20"/>
            <w:lang w:val="es-ES"/>
          </w:rPr>
          <w:t>RESUM</w:t>
        </w:r>
        <w:r w:rsidR="001F5BE4" w:rsidRPr="001F5BE4">
          <w:rPr>
            <w:rFonts w:ascii="Arial" w:hAnsi="Arial" w:cs="Arial"/>
            <w:noProof/>
            <w:webHidden/>
            <w:sz w:val="20"/>
            <w:szCs w:val="20"/>
          </w:rPr>
          <w:tab/>
        </w:r>
        <w:r w:rsidR="001F5BE4" w:rsidRPr="001F5BE4">
          <w:rPr>
            <w:rFonts w:ascii="Arial" w:hAnsi="Arial" w:cs="Arial"/>
            <w:noProof/>
            <w:webHidden/>
            <w:sz w:val="20"/>
            <w:szCs w:val="20"/>
          </w:rPr>
          <w:fldChar w:fldCharType="begin"/>
        </w:r>
        <w:r w:rsidR="001F5BE4" w:rsidRPr="001F5BE4">
          <w:rPr>
            <w:rFonts w:ascii="Arial" w:hAnsi="Arial" w:cs="Arial"/>
            <w:noProof/>
            <w:webHidden/>
            <w:sz w:val="20"/>
            <w:szCs w:val="20"/>
          </w:rPr>
          <w:instrText xml:space="preserve"> PAGEREF _Toc429397048 \h </w:instrText>
        </w:r>
        <w:r w:rsidR="001F5BE4" w:rsidRPr="001F5BE4">
          <w:rPr>
            <w:rFonts w:ascii="Arial" w:hAnsi="Arial" w:cs="Arial"/>
            <w:noProof/>
            <w:webHidden/>
            <w:sz w:val="20"/>
            <w:szCs w:val="20"/>
          </w:rPr>
        </w:r>
        <w:r w:rsidR="001F5BE4" w:rsidRPr="001F5BE4">
          <w:rPr>
            <w:rFonts w:ascii="Arial" w:hAnsi="Arial" w:cs="Arial"/>
            <w:noProof/>
            <w:webHidden/>
            <w:sz w:val="20"/>
            <w:szCs w:val="20"/>
          </w:rPr>
          <w:fldChar w:fldCharType="separate"/>
        </w:r>
        <w:r w:rsidR="001F5BE4" w:rsidRPr="001F5BE4">
          <w:rPr>
            <w:rFonts w:ascii="Arial" w:hAnsi="Arial" w:cs="Arial"/>
            <w:noProof/>
            <w:webHidden/>
            <w:sz w:val="20"/>
            <w:szCs w:val="20"/>
          </w:rPr>
          <w:t>1</w:t>
        </w:r>
        <w:r w:rsidR="001F5BE4" w:rsidRPr="001F5BE4">
          <w:rPr>
            <w:rFonts w:ascii="Arial" w:hAnsi="Arial" w:cs="Arial"/>
            <w:noProof/>
            <w:webHidden/>
            <w:sz w:val="20"/>
            <w:szCs w:val="20"/>
          </w:rPr>
          <w:fldChar w:fldCharType="end"/>
        </w:r>
      </w:hyperlink>
    </w:p>
    <w:p w:rsidR="001F5BE4" w:rsidRPr="001F5BE4" w:rsidRDefault="00961F8F" w:rsidP="001F5BE4">
      <w:pPr>
        <w:pStyle w:val="TOC1"/>
        <w:tabs>
          <w:tab w:val="right" w:pos="8210"/>
        </w:tabs>
        <w:spacing w:line="240" w:lineRule="auto"/>
        <w:rPr>
          <w:rFonts w:ascii="Arial" w:eastAsiaTheme="minorEastAsia" w:hAnsi="Arial" w:cs="Arial"/>
          <w:b w:val="0"/>
          <w:bCs w:val="0"/>
          <w:caps w:val="0"/>
          <w:noProof/>
          <w:sz w:val="20"/>
          <w:szCs w:val="20"/>
          <w:lang w:val="es-ES" w:eastAsia="es-ES"/>
        </w:rPr>
      </w:pPr>
      <w:hyperlink w:anchor="_Toc429397049" w:history="1">
        <w:r w:rsidR="001F5BE4" w:rsidRPr="001F5BE4">
          <w:rPr>
            <w:rStyle w:val="Hyperlink"/>
            <w:rFonts w:ascii="Arial" w:hAnsi="Arial" w:cs="Arial"/>
            <w:noProof/>
            <w:sz w:val="20"/>
            <w:szCs w:val="20"/>
            <w:lang w:val="es-ES"/>
          </w:rPr>
          <w:t>ABSTRACT</w:t>
        </w:r>
        <w:r w:rsidR="001F5BE4" w:rsidRPr="001F5BE4">
          <w:rPr>
            <w:rFonts w:ascii="Arial" w:hAnsi="Arial" w:cs="Arial"/>
            <w:noProof/>
            <w:webHidden/>
            <w:sz w:val="20"/>
            <w:szCs w:val="20"/>
          </w:rPr>
          <w:tab/>
        </w:r>
        <w:r w:rsidR="001F5BE4" w:rsidRPr="001F5BE4">
          <w:rPr>
            <w:rFonts w:ascii="Arial" w:hAnsi="Arial" w:cs="Arial"/>
            <w:noProof/>
            <w:webHidden/>
            <w:sz w:val="20"/>
            <w:szCs w:val="20"/>
          </w:rPr>
          <w:fldChar w:fldCharType="begin"/>
        </w:r>
        <w:r w:rsidR="001F5BE4" w:rsidRPr="001F5BE4">
          <w:rPr>
            <w:rFonts w:ascii="Arial" w:hAnsi="Arial" w:cs="Arial"/>
            <w:noProof/>
            <w:webHidden/>
            <w:sz w:val="20"/>
            <w:szCs w:val="20"/>
          </w:rPr>
          <w:instrText xml:space="preserve"> PAGEREF _Toc429397049 \h </w:instrText>
        </w:r>
        <w:r w:rsidR="001F5BE4" w:rsidRPr="001F5BE4">
          <w:rPr>
            <w:rFonts w:ascii="Arial" w:hAnsi="Arial" w:cs="Arial"/>
            <w:noProof/>
            <w:webHidden/>
            <w:sz w:val="20"/>
            <w:szCs w:val="20"/>
          </w:rPr>
        </w:r>
        <w:r w:rsidR="001F5BE4" w:rsidRPr="001F5BE4">
          <w:rPr>
            <w:rFonts w:ascii="Arial" w:hAnsi="Arial" w:cs="Arial"/>
            <w:noProof/>
            <w:webHidden/>
            <w:sz w:val="20"/>
            <w:szCs w:val="20"/>
          </w:rPr>
          <w:fldChar w:fldCharType="separate"/>
        </w:r>
        <w:r w:rsidR="001F5BE4" w:rsidRPr="001F5BE4">
          <w:rPr>
            <w:rFonts w:ascii="Arial" w:hAnsi="Arial" w:cs="Arial"/>
            <w:noProof/>
            <w:webHidden/>
            <w:sz w:val="20"/>
            <w:szCs w:val="20"/>
          </w:rPr>
          <w:t>2</w:t>
        </w:r>
        <w:r w:rsidR="001F5BE4" w:rsidRPr="001F5BE4">
          <w:rPr>
            <w:rFonts w:ascii="Arial" w:hAnsi="Arial" w:cs="Arial"/>
            <w:noProof/>
            <w:webHidden/>
            <w:sz w:val="20"/>
            <w:szCs w:val="20"/>
          </w:rPr>
          <w:fldChar w:fldCharType="end"/>
        </w:r>
      </w:hyperlink>
    </w:p>
    <w:p w:rsidR="001F5BE4" w:rsidRPr="001F5BE4" w:rsidRDefault="00961F8F" w:rsidP="001F5BE4">
      <w:pPr>
        <w:pStyle w:val="TOC1"/>
        <w:tabs>
          <w:tab w:val="left" w:pos="720"/>
          <w:tab w:val="right" w:pos="8210"/>
        </w:tabs>
        <w:spacing w:line="240" w:lineRule="auto"/>
        <w:rPr>
          <w:rFonts w:ascii="Arial" w:eastAsiaTheme="minorEastAsia" w:hAnsi="Arial" w:cs="Arial"/>
          <w:b w:val="0"/>
          <w:bCs w:val="0"/>
          <w:caps w:val="0"/>
          <w:noProof/>
          <w:sz w:val="20"/>
          <w:szCs w:val="20"/>
          <w:lang w:val="es-ES" w:eastAsia="es-ES"/>
        </w:rPr>
      </w:pPr>
      <w:hyperlink w:anchor="_Toc429397050" w:history="1">
        <w:r w:rsidR="001F5BE4" w:rsidRPr="001F5BE4">
          <w:rPr>
            <w:rStyle w:val="Hyperlink"/>
            <w:rFonts w:ascii="Arial" w:hAnsi="Arial" w:cs="Arial"/>
            <w:noProof/>
            <w:sz w:val="20"/>
            <w:szCs w:val="20"/>
            <w:lang w:val="es-ES"/>
          </w:rPr>
          <w:t>1</w:t>
        </w:r>
        <w:r w:rsidR="001F5BE4" w:rsidRPr="001F5BE4">
          <w:rPr>
            <w:rFonts w:ascii="Arial" w:eastAsiaTheme="minorEastAsia" w:hAnsi="Arial" w:cs="Arial"/>
            <w:b w:val="0"/>
            <w:bCs w:val="0"/>
            <w:caps w:val="0"/>
            <w:noProof/>
            <w:sz w:val="20"/>
            <w:szCs w:val="20"/>
            <w:lang w:val="es-ES" w:eastAsia="es-ES"/>
          </w:rPr>
          <w:tab/>
        </w:r>
        <w:r w:rsidR="001F5BE4" w:rsidRPr="001F5BE4">
          <w:rPr>
            <w:rStyle w:val="Hyperlink"/>
            <w:rFonts w:ascii="Arial" w:hAnsi="Arial" w:cs="Arial"/>
            <w:noProof/>
            <w:sz w:val="20"/>
            <w:szCs w:val="20"/>
          </w:rPr>
          <w:t>INTRODUCCIÓN</w:t>
        </w:r>
        <w:r w:rsidR="001F5BE4" w:rsidRPr="001F5BE4">
          <w:rPr>
            <w:rFonts w:ascii="Arial" w:hAnsi="Arial" w:cs="Arial"/>
            <w:noProof/>
            <w:webHidden/>
            <w:sz w:val="20"/>
            <w:szCs w:val="20"/>
          </w:rPr>
          <w:tab/>
        </w:r>
        <w:r w:rsidR="001F5BE4" w:rsidRPr="001F5BE4">
          <w:rPr>
            <w:rFonts w:ascii="Arial" w:hAnsi="Arial" w:cs="Arial"/>
            <w:noProof/>
            <w:webHidden/>
            <w:sz w:val="20"/>
            <w:szCs w:val="20"/>
          </w:rPr>
          <w:fldChar w:fldCharType="begin"/>
        </w:r>
        <w:r w:rsidR="001F5BE4" w:rsidRPr="001F5BE4">
          <w:rPr>
            <w:rFonts w:ascii="Arial" w:hAnsi="Arial" w:cs="Arial"/>
            <w:noProof/>
            <w:webHidden/>
            <w:sz w:val="20"/>
            <w:szCs w:val="20"/>
          </w:rPr>
          <w:instrText xml:space="preserve"> PAGEREF _Toc429397050 \h </w:instrText>
        </w:r>
        <w:r w:rsidR="001F5BE4" w:rsidRPr="001F5BE4">
          <w:rPr>
            <w:rFonts w:ascii="Arial" w:hAnsi="Arial" w:cs="Arial"/>
            <w:noProof/>
            <w:webHidden/>
            <w:sz w:val="20"/>
            <w:szCs w:val="20"/>
          </w:rPr>
        </w:r>
        <w:r w:rsidR="001F5BE4" w:rsidRPr="001F5BE4">
          <w:rPr>
            <w:rFonts w:ascii="Arial" w:hAnsi="Arial" w:cs="Arial"/>
            <w:noProof/>
            <w:webHidden/>
            <w:sz w:val="20"/>
            <w:szCs w:val="20"/>
          </w:rPr>
          <w:fldChar w:fldCharType="separate"/>
        </w:r>
        <w:r w:rsidR="001F5BE4" w:rsidRPr="001F5BE4">
          <w:rPr>
            <w:rFonts w:ascii="Arial" w:hAnsi="Arial" w:cs="Arial"/>
            <w:noProof/>
            <w:webHidden/>
            <w:sz w:val="20"/>
            <w:szCs w:val="20"/>
          </w:rPr>
          <w:t>5</w:t>
        </w:r>
        <w:r w:rsidR="001F5BE4" w:rsidRPr="001F5BE4">
          <w:rPr>
            <w:rFonts w:ascii="Arial" w:hAnsi="Arial" w:cs="Arial"/>
            <w:noProof/>
            <w:webHidden/>
            <w:sz w:val="20"/>
            <w:szCs w:val="20"/>
          </w:rPr>
          <w:fldChar w:fldCharType="end"/>
        </w:r>
      </w:hyperlink>
    </w:p>
    <w:p w:rsidR="001F5BE4" w:rsidRPr="001F5BE4" w:rsidRDefault="00961F8F" w:rsidP="001F5BE4">
      <w:pPr>
        <w:pStyle w:val="TOC1"/>
        <w:tabs>
          <w:tab w:val="left" w:pos="720"/>
          <w:tab w:val="right" w:pos="8210"/>
        </w:tabs>
        <w:spacing w:line="240" w:lineRule="auto"/>
        <w:rPr>
          <w:rFonts w:ascii="Arial" w:eastAsiaTheme="minorEastAsia" w:hAnsi="Arial" w:cs="Arial"/>
          <w:b w:val="0"/>
          <w:bCs w:val="0"/>
          <w:caps w:val="0"/>
          <w:noProof/>
          <w:sz w:val="20"/>
          <w:szCs w:val="20"/>
          <w:lang w:val="es-ES" w:eastAsia="es-ES"/>
        </w:rPr>
      </w:pPr>
      <w:hyperlink w:anchor="_Toc429397051" w:history="1">
        <w:r w:rsidR="001F5BE4" w:rsidRPr="001F5BE4">
          <w:rPr>
            <w:rStyle w:val="Hyperlink"/>
            <w:rFonts w:ascii="Arial" w:hAnsi="Arial" w:cs="Arial"/>
            <w:noProof/>
            <w:sz w:val="20"/>
            <w:szCs w:val="20"/>
            <w:lang w:val="es-ES"/>
          </w:rPr>
          <w:t>2</w:t>
        </w:r>
        <w:r w:rsidR="001F5BE4" w:rsidRPr="001F5BE4">
          <w:rPr>
            <w:rFonts w:ascii="Arial" w:eastAsiaTheme="minorEastAsia" w:hAnsi="Arial" w:cs="Arial"/>
            <w:b w:val="0"/>
            <w:bCs w:val="0"/>
            <w:caps w:val="0"/>
            <w:noProof/>
            <w:sz w:val="20"/>
            <w:szCs w:val="20"/>
            <w:lang w:val="es-ES" w:eastAsia="es-ES"/>
          </w:rPr>
          <w:tab/>
        </w:r>
        <w:r w:rsidR="001F5BE4" w:rsidRPr="001F5BE4">
          <w:rPr>
            <w:rStyle w:val="Hyperlink"/>
            <w:rFonts w:ascii="Arial" w:hAnsi="Arial" w:cs="Arial"/>
            <w:noProof/>
            <w:sz w:val="20"/>
            <w:szCs w:val="20"/>
            <w:lang w:val="es-ES"/>
          </w:rPr>
          <w:t>MATERIALES Y MÉTODOS</w:t>
        </w:r>
        <w:r w:rsidR="001F5BE4" w:rsidRPr="001F5BE4">
          <w:rPr>
            <w:rFonts w:ascii="Arial" w:hAnsi="Arial" w:cs="Arial"/>
            <w:noProof/>
            <w:webHidden/>
            <w:sz w:val="20"/>
            <w:szCs w:val="20"/>
          </w:rPr>
          <w:tab/>
        </w:r>
        <w:r w:rsidR="001F5BE4" w:rsidRPr="001F5BE4">
          <w:rPr>
            <w:rFonts w:ascii="Arial" w:hAnsi="Arial" w:cs="Arial"/>
            <w:noProof/>
            <w:webHidden/>
            <w:sz w:val="20"/>
            <w:szCs w:val="20"/>
          </w:rPr>
          <w:fldChar w:fldCharType="begin"/>
        </w:r>
        <w:r w:rsidR="001F5BE4" w:rsidRPr="001F5BE4">
          <w:rPr>
            <w:rFonts w:ascii="Arial" w:hAnsi="Arial" w:cs="Arial"/>
            <w:noProof/>
            <w:webHidden/>
            <w:sz w:val="20"/>
            <w:szCs w:val="20"/>
          </w:rPr>
          <w:instrText xml:space="preserve"> PAGEREF _Toc429397051 \h </w:instrText>
        </w:r>
        <w:r w:rsidR="001F5BE4" w:rsidRPr="001F5BE4">
          <w:rPr>
            <w:rFonts w:ascii="Arial" w:hAnsi="Arial" w:cs="Arial"/>
            <w:noProof/>
            <w:webHidden/>
            <w:sz w:val="20"/>
            <w:szCs w:val="20"/>
          </w:rPr>
        </w:r>
        <w:r w:rsidR="001F5BE4" w:rsidRPr="001F5BE4">
          <w:rPr>
            <w:rFonts w:ascii="Arial" w:hAnsi="Arial" w:cs="Arial"/>
            <w:noProof/>
            <w:webHidden/>
            <w:sz w:val="20"/>
            <w:szCs w:val="20"/>
          </w:rPr>
          <w:fldChar w:fldCharType="separate"/>
        </w:r>
        <w:r w:rsidR="001F5BE4" w:rsidRPr="001F5BE4">
          <w:rPr>
            <w:rFonts w:ascii="Arial" w:hAnsi="Arial" w:cs="Arial"/>
            <w:noProof/>
            <w:webHidden/>
            <w:sz w:val="20"/>
            <w:szCs w:val="20"/>
          </w:rPr>
          <w:t>7</w:t>
        </w:r>
        <w:r w:rsidR="001F5BE4" w:rsidRPr="001F5BE4">
          <w:rPr>
            <w:rFonts w:ascii="Arial" w:hAnsi="Arial" w:cs="Arial"/>
            <w:noProof/>
            <w:webHidden/>
            <w:sz w:val="20"/>
            <w:szCs w:val="20"/>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52" w:history="1">
        <w:r w:rsidR="001F5BE4" w:rsidRPr="001F5BE4">
          <w:rPr>
            <w:rStyle w:val="Hyperlink"/>
            <w:rFonts w:ascii="Arial" w:hAnsi="Arial" w:cs="Arial"/>
            <w:noProof/>
          </w:rPr>
          <w:t>2.1</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Síntesis de los sistemas de encapsulación</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_Toc429397052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7</w:t>
        </w:r>
        <w:r w:rsidR="001F5BE4" w:rsidRPr="001F5BE4">
          <w:rPr>
            <w:rFonts w:ascii="Arial" w:hAnsi="Arial" w:cs="Arial"/>
            <w:noProof/>
            <w:webHidden/>
          </w:rPr>
          <w:fldChar w:fldCharType="end"/>
        </w:r>
      </w:hyperlink>
    </w:p>
    <w:p w:rsidR="001F5BE4" w:rsidRPr="001F5BE4" w:rsidRDefault="00961F8F" w:rsidP="001F5BE4">
      <w:pPr>
        <w:pStyle w:val="TOC3"/>
        <w:tabs>
          <w:tab w:val="left" w:pos="1440"/>
          <w:tab w:val="right" w:pos="8210"/>
        </w:tabs>
        <w:spacing w:line="240" w:lineRule="auto"/>
        <w:rPr>
          <w:rFonts w:ascii="Arial" w:eastAsiaTheme="minorEastAsia" w:hAnsi="Arial" w:cs="Arial"/>
          <w:noProof/>
          <w:lang w:val="es-ES" w:eastAsia="es-ES"/>
        </w:rPr>
      </w:pPr>
      <w:hyperlink w:anchor="_Toc429397053" w:history="1">
        <w:r w:rsidR="001F5BE4" w:rsidRPr="001F5BE4">
          <w:rPr>
            <w:rStyle w:val="Hyperlink"/>
            <w:rFonts w:ascii="Arial" w:hAnsi="Arial" w:cs="Arial"/>
            <w:noProof/>
          </w:rPr>
          <w:t>2.1.1</w:t>
        </w:r>
        <w:r w:rsidR="001F5BE4" w:rsidRPr="001F5BE4">
          <w:rPr>
            <w:rFonts w:ascii="Arial" w:eastAsiaTheme="minorEastAsia" w:hAnsi="Arial" w:cs="Arial"/>
            <w:noProof/>
            <w:lang w:val="es-ES" w:eastAsia="es-ES"/>
          </w:rPr>
          <w:tab/>
        </w:r>
        <w:r w:rsidR="001F5BE4" w:rsidRPr="001F5BE4">
          <w:rPr>
            <w:rStyle w:val="Hyperlink"/>
            <w:rFonts w:ascii="Arial" w:hAnsi="Arial" w:cs="Arial"/>
            <w:noProof/>
          </w:rPr>
          <w:t>Soporte mesoporoso MCM-41 (M0)</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_Toc429397053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7</w:t>
        </w:r>
        <w:r w:rsidR="001F5BE4" w:rsidRPr="001F5BE4">
          <w:rPr>
            <w:rFonts w:ascii="Arial" w:hAnsi="Arial" w:cs="Arial"/>
            <w:noProof/>
            <w:webHidden/>
          </w:rPr>
          <w:fldChar w:fldCharType="end"/>
        </w:r>
      </w:hyperlink>
    </w:p>
    <w:p w:rsidR="001F5BE4" w:rsidRPr="001F5BE4" w:rsidRDefault="00961F8F" w:rsidP="001F5BE4">
      <w:pPr>
        <w:pStyle w:val="TOC3"/>
        <w:tabs>
          <w:tab w:val="left" w:pos="1440"/>
          <w:tab w:val="right" w:pos="8210"/>
        </w:tabs>
        <w:spacing w:line="240" w:lineRule="auto"/>
        <w:rPr>
          <w:rFonts w:ascii="Arial" w:eastAsiaTheme="minorEastAsia" w:hAnsi="Arial" w:cs="Arial"/>
          <w:noProof/>
          <w:lang w:val="es-ES" w:eastAsia="es-ES"/>
        </w:rPr>
      </w:pPr>
      <w:hyperlink w:anchor="_Toc429397054" w:history="1">
        <w:r w:rsidR="001F5BE4" w:rsidRPr="001F5BE4">
          <w:rPr>
            <w:rStyle w:val="Hyperlink"/>
            <w:rFonts w:ascii="Arial" w:hAnsi="Arial" w:cs="Arial"/>
            <w:noProof/>
          </w:rPr>
          <w:t>2.1.2</w:t>
        </w:r>
        <w:r w:rsidR="001F5BE4" w:rsidRPr="001F5BE4">
          <w:rPr>
            <w:rFonts w:ascii="Arial" w:eastAsiaTheme="minorEastAsia" w:hAnsi="Arial" w:cs="Arial"/>
            <w:noProof/>
            <w:lang w:val="es-ES" w:eastAsia="es-ES"/>
          </w:rPr>
          <w:tab/>
        </w:r>
        <w:r w:rsidR="001F5BE4" w:rsidRPr="001F5BE4">
          <w:rPr>
            <w:rStyle w:val="Hyperlink"/>
            <w:rFonts w:ascii="Arial" w:hAnsi="Arial" w:cs="Arial"/>
            <w:noProof/>
          </w:rPr>
          <w:t>Soporte mesoporoso SBA-15 (S0)</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_Toc429397054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8</w:t>
        </w:r>
        <w:r w:rsidR="001F5BE4" w:rsidRPr="001F5BE4">
          <w:rPr>
            <w:rFonts w:ascii="Arial" w:hAnsi="Arial" w:cs="Arial"/>
            <w:noProof/>
            <w:webHidden/>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55" w:history="1">
        <w:r w:rsidR="001F5BE4" w:rsidRPr="001F5BE4">
          <w:rPr>
            <w:rStyle w:val="Hyperlink"/>
            <w:rFonts w:ascii="Arial" w:hAnsi="Arial" w:cs="Arial"/>
            <w:noProof/>
          </w:rPr>
          <w:t>2.2</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Encapsulado del DADS (sólidos M y S)</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_Toc429397055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8</w:t>
        </w:r>
        <w:r w:rsidR="001F5BE4" w:rsidRPr="001F5BE4">
          <w:rPr>
            <w:rFonts w:ascii="Arial" w:hAnsi="Arial" w:cs="Arial"/>
            <w:noProof/>
            <w:webHidden/>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56" w:history="1">
        <w:r w:rsidR="001F5BE4" w:rsidRPr="001F5BE4">
          <w:rPr>
            <w:rStyle w:val="Hyperlink"/>
            <w:rFonts w:ascii="Arial" w:hAnsi="Arial" w:cs="Arial"/>
            <w:noProof/>
          </w:rPr>
          <w:t>2.3</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Funcionalización de los soportes cargados con DADS</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_Toc429397056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8</w:t>
        </w:r>
        <w:r w:rsidR="001F5BE4" w:rsidRPr="001F5BE4">
          <w:rPr>
            <w:rFonts w:ascii="Arial" w:hAnsi="Arial" w:cs="Arial"/>
            <w:noProof/>
            <w:webHidden/>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57" w:history="1">
        <w:r w:rsidR="001F5BE4" w:rsidRPr="001F5BE4">
          <w:rPr>
            <w:rStyle w:val="Hyperlink"/>
            <w:rFonts w:ascii="Arial" w:hAnsi="Arial" w:cs="Arial"/>
            <w:noProof/>
          </w:rPr>
          <w:t>2.4</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Ensayo de liberación</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_Toc429397057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9</w:t>
        </w:r>
        <w:r w:rsidR="001F5BE4" w:rsidRPr="001F5BE4">
          <w:rPr>
            <w:rFonts w:ascii="Arial" w:hAnsi="Arial" w:cs="Arial"/>
            <w:noProof/>
            <w:webHidden/>
          </w:rPr>
          <w:fldChar w:fldCharType="end"/>
        </w:r>
      </w:hyperlink>
    </w:p>
    <w:p w:rsidR="001F5BE4" w:rsidRPr="001F5BE4" w:rsidRDefault="00961F8F" w:rsidP="001F5BE4">
      <w:pPr>
        <w:pStyle w:val="TOC3"/>
        <w:tabs>
          <w:tab w:val="left" w:pos="1440"/>
          <w:tab w:val="right" w:pos="8210"/>
        </w:tabs>
        <w:spacing w:line="240" w:lineRule="auto"/>
        <w:rPr>
          <w:rFonts w:ascii="Arial" w:eastAsiaTheme="minorEastAsia" w:hAnsi="Arial" w:cs="Arial"/>
          <w:noProof/>
          <w:lang w:val="es-ES" w:eastAsia="es-ES"/>
        </w:rPr>
      </w:pPr>
      <w:hyperlink w:anchor="_Toc429397058" w:history="1">
        <w:r w:rsidR="001F5BE4" w:rsidRPr="001F5BE4">
          <w:rPr>
            <w:rStyle w:val="Hyperlink"/>
            <w:rFonts w:ascii="Arial" w:hAnsi="Arial" w:cs="Arial"/>
            <w:noProof/>
          </w:rPr>
          <w:t>2.4.1</w:t>
        </w:r>
        <w:r w:rsidR="001F5BE4" w:rsidRPr="001F5BE4">
          <w:rPr>
            <w:rFonts w:ascii="Arial" w:eastAsiaTheme="minorEastAsia" w:hAnsi="Arial" w:cs="Arial"/>
            <w:noProof/>
            <w:lang w:val="es-ES" w:eastAsia="es-ES"/>
          </w:rPr>
          <w:tab/>
        </w:r>
        <w:r w:rsidR="001F5BE4" w:rsidRPr="001F5BE4">
          <w:rPr>
            <w:rStyle w:val="Hyperlink"/>
            <w:rFonts w:ascii="Arial" w:hAnsi="Arial" w:cs="Arial"/>
            <w:noProof/>
          </w:rPr>
          <w:t>Liberación de los sólidos sin funcionalizar</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_Toc429397058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9</w:t>
        </w:r>
        <w:r w:rsidR="001F5BE4" w:rsidRPr="001F5BE4">
          <w:rPr>
            <w:rFonts w:ascii="Arial" w:hAnsi="Arial" w:cs="Arial"/>
            <w:noProof/>
            <w:webHidden/>
          </w:rPr>
          <w:fldChar w:fldCharType="end"/>
        </w:r>
      </w:hyperlink>
    </w:p>
    <w:p w:rsidR="001F5BE4" w:rsidRPr="001F5BE4" w:rsidRDefault="00961F8F" w:rsidP="001F5BE4">
      <w:pPr>
        <w:pStyle w:val="TOC3"/>
        <w:tabs>
          <w:tab w:val="left" w:pos="1440"/>
          <w:tab w:val="right" w:pos="8210"/>
        </w:tabs>
        <w:spacing w:line="240" w:lineRule="auto"/>
        <w:rPr>
          <w:rFonts w:ascii="Arial" w:eastAsiaTheme="minorEastAsia" w:hAnsi="Arial" w:cs="Arial"/>
          <w:noProof/>
          <w:lang w:val="es-ES" w:eastAsia="es-ES"/>
        </w:rPr>
      </w:pPr>
      <w:hyperlink w:anchor="_Toc429397059" w:history="1">
        <w:r w:rsidR="001F5BE4" w:rsidRPr="001F5BE4">
          <w:rPr>
            <w:rStyle w:val="Hyperlink"/>
            <w:rFonts w:ascii="Arial" w:hAnsi="Arial" w:cs="Arial"/>
            <w:noProof/>
          </w:rPr>
          <w:t>2.4.2</w:t>
        </w:r>
        <w:r w:rsidR="001F5BE4" w:rsidRPr="001F5BE4">
          <w:rPr>
            <w:rFonts w:ascii="Arial" w:eastAsiaTheme="minorEastAsia" w:hAnsi="Arial" w:cs="Arial"/>
            <w:noProof/>
            <w:lang w:val="es-ES" w:eastAsia="es-ES"/>
          </w:rPr>
          <w:tab/>
        </w:r>
        <w:r w:rsidR="001F5BE4" w:rsidRPr="001F5BE4">
          <w:rPr>
            <w:rStyle w:val="Hyperlink"/>
            <w:rFonts w:ascii="Arial" w:hAnsi="Arial" w:cs="Arial"/>
            <w:noProof/>
          </w:rPr>
          <w:t>Ensayo de liberación con puerta</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_Toc429397059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9</w:t>
        </w:r>
        <w:r w:rsidR="001F5BE4" w:rsidRPr="001F5BE4">
          <w:rPr>
            <w:rFonts w:ascii="Arial" w:hAnsi="Arial" w:cs="Arial"/>
            <w:noProof/>
            <w:webHidden/>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60" w:history="1">
        <w:r w:rsidR="001F5BE4" w:rsidRPr="001F5BE4">
          <w:rPr>
            <w:rStyle w:val="Hyperlink"/>
            <w:rFonts w:ascii="Arial" w:hAnsi="Arial" w:cs="Arial"/>
            <w:noProof/>
          </w:rPr>
          <w:t>2.5</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Método de detección y cuantificación de DADS</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_Toc429397060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9</w:t>
        </w:r>
        <w:r w:rsidR="001F5BE4" w:rsidRPr="001F5BE4">
          <w:rPr>
            <w:rFonts w:ascii="Arial" w:hAnsi="Arial" w:cs="Arial"/>
            <w:noProof/>
            <w:webHidden/>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61" w:history="1">
        <w:r w:rsidR="001F5BE4" w:rsidRPr="001F5BE4">
          <w:rPr>
            <w:rStyle w:val="Hyperlink"/>
            <w:rFonts w:ascii="Arial" w:hAnsi="Arial" w:cs="Arial"/>
            <w:noProof/>
          </w:rPr>
          <w:t>2.6</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 xml:space="preserve">Evaluación de la capacidad biocida del DADS en </w:t>
        </w:r>
        <w:r w:rsidR="001F5BE4" w:rsidRPr="001F5BE4">
          <w:rPr>
            <w:rStyle w:val="Hyperlink"/>
            <w:rFonts w:ascii="Arial" w:hAnsi="Arial" w:cs="Arial"/>
            <w:i/>
            <w:noProof/>
          </w:rPr>
          <w:t>E. coli</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_Toc429397061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9</w:t>
        </w:r>
        <w:r w:rsidR="001F5BE4" w:rsidRPr="001F5BE4">
          <w:rPr>
            <w:rFonts w:ascii="Arial" w:hAnsi="Arial" w:cs="Arial"/>
            <w:noProof/>
            <w:webHidden/>
          </w:rPr>
          <w:fldChar w:fldCharType="end"/>
        </w:r>
      </w:hyperlink>
    </w:p>
    <w:p w:rsidR="001F5BE4" w:rsidRPr="001F5BE4" w:rsidRDefault="00961F8F" w:rsidP="001F5BE4">
      <w:pPr>
        <w:pStyle w:val="TOC3"/>
        <w:tabs>
          <w:tab w:val="left" w:pos="1440"/>
          <w:tab w:val="right" w:pos="8210"/>
        </w:tabs>
        <w:spacing w:line="240" w:lineRule="auto"/>
        <w:rPr>
          <w:rFonts w:ascii="Arial" w:eastAsiaTheme="minorEastAsia" w:hAnsi="Arial" w:cs="Arial"/>
          <w:noProof/>
          <w:lang w:val="es-ES" w:eastAsia="es-ES"/>
        </w:rPr>
      </w:pPr>
      <w:hyperlink w:anchor="_Toc429397062" w:history="1">
        <w:r w:rsidR="001F5BE4" w:rsidRPr="001F5BE4">
          <w:rPr>
            <w:rStyle w:val="Hyperlink"/>
            <w:rFonts w:ascii="Arial" w:hAnsi="Arial" w:cs="Arial"/>
            <w:noProof/>
          </w:rPr>
          <w:t>2.6.1</w:t>
        </w:r>
        <w:r w:rsidR="001F5BE4" w:rsidRPr="001F5BE4">
          <w:rPr>
            <w:rFonts w:ascii="Arial" w:eastAsiaTheme="minorEastAsia" w:hAnsi="Arial" w:cs="Arial"/>
            <w:noProof/>
            <w:lang w:val="es-ES" w:eastAsia="es-ES"/>
          </w:rPr>
          <w:tab/>
        </w:r>
        <w:r w:rsidR="001F5BE4" w:rsidRPr="001F5BE4">
          <w:rPr>
            <w:rStyle w:val="Hyperlink"/>
            <w:rFonts w:ascii="Arial" w:hAnsi="Arial" w:cs="Arial"/>
            <w:noProof/>
          </w:rPr>
          <w:t>Ensayo de inhibición del DADS encapsulado</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_Toc429397062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9</w:t>
        </w:r>
        <w:r w:rsidR="001F5BE4" w:rsidRPr="001F5BE4">
          <w:rPr>
            <w:rFonts w:ascii="Arial" w:hAnsi="Arial" w:cs="Arial"/>
            <w:noProof/>
            <w:webHidden/>
          </w:rPr>
          <w:fldChar w:fldCharType="end"/>
        </w:r>
      </w:hyperlink>
    </w:p>
    <w:p w:rsidR="001F5BE4" w:rsidRPr="001F5BE4" w:rsidRDefault="00961F8F" w:rsidP="001F5BE4">
      <w:pPr>
        <w:pStyle w:val="TOC1"/>
        <w:tabs>
          <w:tab w:val="left" w:pos="720"/>
          <w:tab w:val="right" w:pos="8210"/>
        </w:tabs>
        <w:spacing w:line="240" w:lineRule="auto"/>
        <w:rPr>
          <w:rFonts w:ascii="Arial" w:eastAsiaTheme="minorEastAsia" w:hAnsi="Arial" w:cs="Arial"/>
          <w:b w:val="0"/>
          <w:bCs w:val="0"/>
          <w:caps w:val="0"/>
          <w:noProof/>
          <w:sz w:val="20"/>
          <w:szCs w:val="20"/>
          <w:lang w:val="es-ES" w:eastAsia="es-ES"/>
        </w:rPr>
      </w:pPr>
      <w:hyperlink w:anchor="_Toc429397063" w:history="1">
        <w:r w:rsidR="001F5BE4" w:rsidRPr="001F5BE4">
          <w:rPr>
            <w:rStyle w:val="Hyperlink"/>
            <w:rFonts w:ascii="Arial" w:hAnsi="Arial" w:cs="Arial"/>
            <w:noProof/>
            <w:sz w:val="20"/>
            <w:szCs w:val="20"/>
            <w:lang w:val="es-ES"/>
          </w:rPr>
          <w:t>3</w:t>
        </w:r>
        <w:r w:rsidR="001F5BE4" w:rsidRPr="001F5BE4">
          <w:rPr>
            <w:rFonts w:ascii="Arial" w:eastAsiaTheme="minorEastAsia" w:hAnsi="Arial" w:cs="Arial"/>
            <w:b w:val="0"/>
            <w:bCs w:val="0"/>
            <w:caps w:val="0"/>
            <w:noProof/>
            <w:sz w:val="20"/>
            <w:szCs w:val="20"/>
            <w:lang w:val="es-ES" w:eastAsia="es-ES"/>
          </w:rPr>
          <w:tab/>
        </w:r>
        <w:r w:rsidR="001F5BE4" w:rsidRPr="001F5BE4">
          <w:rPr>
            <w:rStyle w:val="Hyperlink"/>
            <w:rFonts w:ascii="Arial" w:hAnsi="Arial" w:cs="Arial"/>
            <w:noProof/>
            <w:sz w:val="20"/>
            <w:szCs w:val="20"/>
            <w:lang w:val="es-ES"/>
          </w:rPr>
          <w:t xml:space="preserve">RESULTADOS Y </w:t>
        </w:r>
        <w:r w:rsidR="001F5BE4" w:rsidRPr="001F5BE4">
          <w:rPr>
            <w:rStyle w:val="Hyperlink"/>
            <w:rFonts w:ascii="Arial" w:hAnsi="Arial" w:cs="Arial"/>
            <w:noProof/>
            <w:sz w:val="20"/>
            <w:szCs w:val="20"/>
          </w:rPr>
          <w:t>DISCUSIÓN</w:t>
        </w:r>
        <w:r w:rsidR="001F5BE4" w:rsidRPr="001F5BE4">
          <w:rPr>
            <w:rFonts w:ascii="Arial" w:hAnsi="Arial" w:cs="Arial"/>
            <w:noProof/>
            <w:webHidden/>
            <w:sz w:val="20"/>
            <w:szCs w:val="20"/>
          </w:rPr>
          <w:tab/>
        </w:r>
        <w:r w:rsidR="001F5BE4" w:rsidRPr="001F5BE4">
          <w:rPr>
            <w:rFonts w:ascii="Arial" w:hAnsi="Arial" w:cs="Arial"/>
            <w:noProof/>
            <w:webHidden/>
            <w:sz w:val="20"/>
            <w:szCs w:val="20"/>
          </w:rPr>
          <w:fldChar w:fldCharType="begin"/>
        </w:r>
        <w:r w:rsidR="001F5BE4" w:rsidRPr="001F5BE4">
          <w:rPr>
            <w:rFonts w:ascii="Arial" w:hAnsi="Arial" w:cs="Arial"/>
            <w:noProof/>
            <w:webHidden/>
            <w:sz w:val="20"/>
            <w:szCs w:val="20"/>
          </w:rPr>
          <w:instrText xml:space="preserve"> PAGEREF _Toc429397063 \h </w:instrText>
        </w:r>
        <w:r w:rsidR="001F5BE4" w:rsidRPr="001F5BE4">
          <w:rPr>
            <w:rFonts w:ascii="Arial" w:hAnsi="Arial" w:cs="Arial"/>
            <w:noProof/>
            <w:webHidden/>
            <w:sz w:val="20"/>
            <w:szCs w:val="20"/>
          </w:rPr>
        </w:r>
        <w:r w:rsidR="001F5BE4" w:rsidRPr="001F5BE4">
          <w:rPr>
            <w:rFonts w:ascii="Arial" w:hAnsi="Arial" w:cs="Arial"/>
            <w:noProof/>
            <w:webHidden/>
            <w:sz w:val="20"/>
            <w:szCs w:val="20"/>
          </w:rPr>
          <w:fldChar w:fldCharType="separate"/>
        </w:r>
        <w:r w:rsidR="001F5BE4" w:rsidRPr="001F5BE4">
          <w:rPr>
            <w:rFonts w:ascii="Arial" w:hAnsi="Arial" w:cs="Arial"/>
            <w:noProof/>
            <w:webHidden/>
            <w:sz w:val="20"/>
            <w:szCs w:val="20"/>
          </w:rPr>
          <w:t>10</w:t>
        </w:r>
        <w:r w:rsidR="001F5BE4" w:rsidRPr="001F5BE4">
          <w:rPr>
            <w:rFonts w:ascii="Arial" w:hAnsi="Arial" w:cs="Arial"/>
            <w:noProof/>
            <w:webHidden/>
            <w:sz w:val="20"/>
            <w:szCs w:val="20"/>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64" w:history="1">
        <w:r w:rsidR="001F5BE4" w:rsidRPr="001F5BE4">
          <w:rPr>
            <w:rStyle w:val="Hyperlink"/>
            <w:rFonts w:ascii="Arial" w:hAnsi="Arial" w:cs="Arial"/>
            <w:noProof/>
          </w:rPr>
          <w:t>3.1</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Desarrollo de un método de detección y cuantificación de DADS</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_Toc429397064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10</w:t>
        </w:r>
        <w:r w:rsidR="001F5BE4" w:rsidRPr="001F5BE4">
          <w:rPr>
            <w:rFonts w:ascii="Arial" w:hAnsi="Arial" w:cs="Arial"/>
            <w:noProof/>
            <w:webHidden/>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65" w:history="1">
        <w:r w:rsidR="001F5BE4" w:rsidRPr="001F5BE4">
          <w:rPr>
            <w:rStyle w:val="Hyperlink"/>
            <w:rFonts w:ascii="Arial" w:hAnsi="Arial" w:cs="Arial"/>
            <w:noProof/>
          </w:rPr>
          <w:t>3.2</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Caracterización del material sintetizado</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_Toc429397065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11</w:t>
        </w:r>
        <w:r w:rsidR="001F5BE4" w:rsidRPr="001F5BE4">
          <w:rPr>
            <w:rFonts w:ascii="Arial" w:hAnsi="Arial" w:cs="Arial"/>
            <w:noProof/>
            <w:webHidden/>
          </w:rPr>
          <w:fldChar w:fldCharType="end"/>
        </w:r>
      </w:hyperlink>
    </w:p>
    <w:p w:rsidR="001F5BE4" w:rsidRPr="001F5BE4" w:rsidRDefault="00961F8F" w:rsidP="001F5BE4">
      <w:pPr>
        <w:pStyle w:val="TOC3"/>
        <w:tabs>
          <w:tab w:val="left" w:pos="1440"/>
          <w:tab w:val="right" w:pos="8210"/>
        </w:tabs>
        <w:spacing w:line="240" w:lineRule="auto"/>
        <w:rPr>
          <w:rFonts w:ascii="Arial" w:eastAsiaTheme="minorEastAsia" w:hAnsi="Arial" w:cs="Arial"/>
          <w:noProof/>
          <w:lang w:val="es-ES" w:eastAsia="es-ES"/>
        </w:rPr>
      </w:pPr>
      <w:hyperlink w:anchor="_Toc429397066" w:history="1">
        <w:r w:rsidR="001F5BE4" w:rsidRPr="001F5BE4">
          <w:rPr>
            <w:rStyle w:val="Hyperlink"/>
            <w:rFonts w:ascii="Arial" w:hAnsi="Arial" w:cs="Arial"/>
            <w:noProof/>
          </w:rPr>
          <w:t>3.2.1</w:t>
        </w:r>
        <w:r w:rsidR="001F5BE4" w:rsidRPr="001F5BE4">
          <w:rPr>
            <w:rFonts w:ascii="Arial" w:eastAsiaTheme="minorEastAsia" w:hAnsi="Arial" w:cs="Arial"/>
            <w:noProof/>
            <w:lang w:val="es-ES" w:eastAsia="es-ES"/>
          </w:rPr>
          <w:tab/>
        </w:r>
        <w:r w:rsidR="001F5BE4" w:rsidRPr="001F5BE4">
          <w:rPr>
            <w:rStyle w:val="Hyperlink"/>
            <w:rFonts w:ascii="Arial" w:hAnsi="Arial" w:cs="Arial"/>
            <w:noProof/>
          </w:rPr>
          <w:t>Evaluación de la estructura mesoporosa</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_Toc429397066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11</w:t>
        </w:r>
        <w:r w:rsidR="001F5BE4" w:rsidRPr="001F5BE4">
          <w:rPr>
            <w:rFonts w:ascii="Arial" w:hAnsi="Arial" w:cs="Arial"/>
            <w:noProof/>
            <w:webHidden/>
          </w:rPr>
          <w:fldChar w:fldCharType="end"/>
        </w:r>
      </w:hyperlink>
    </w:p>
    <w:p w:rsidR="001F5BE4" w:rsidRPr="001F5BE4" w:rsidRDefault="00961F8F" w:rsidP="001F5BE4">
      <w:pPr>
        <w:pStyle w:val="TOC3"/>
        <w:tabs>
          <w:tab w:val="left" w:pos="1440"/>
          <w:tab w:val="right" w:pos="8210"/>
        </w:tabs>
        <w:spacing w:line="240" w:lineRule="auto"/>
        <w:rPr>
          <w:rFonts w:ascii="Arial" w:eastAsiaTheme="minorEastAsia" w:hAnsi="Arial" w:cs="Arial"/>
          <w:noProof/>
          <w:lang w:val="es-ES" w:eastAsia="es-ES"/>
        </w:rPr>
      </w:pPr>
      <w:hyperlink w:anchor="_Toc429397067" w:history="1">
        <w:r w:rsidR="001F5BE4" w:rsidRPr="001F5BE4">
          <w:rPr>
            <w:rStyle w:val="Hyperlink"/>
            <w:rFonts w:ascii="Arial" w:hAnsi="Arial" w:cs="Arial"/>
            <w:noProof/>
          </w:rPr>
          <w:t>3.2.2</w:t>
        </w:r>
        <w:r w:rsidR="001F5BE4" w:rsidRPr="001F5BE4">
          <w:rPr>
            <w:rFonts w:ascii="Arial" w:eastAsiaTheme="minorEastAsia" w:hAnsi="Arial" w:cs="Arial"/>
            <w:noProof/>
            <w:lang w:val="es-ES" w:eastAsia="es-ES"/>
          </w:rPr>
          <w:tab/>
        </w:r>
        <w:r w:rsidR="001F5BE4" w:rsidRPr="001F5BE4">
          <w:rPr>
            <w:rStyle w:val="Hyperlink"/>
            <w:rFonts w:ascii="Arial" w:hAnsi="Arial" w:cs="Arial"/>
            <w:noProof/>
          </w:rPr>
          <w:t>Evaluación del material encapsulado</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_Toc429397067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13</w:t>
        </w:r>
        <w:r w:rsidR="001F5BE4" w:rsidRPr="001F5BE4">
          <w:rPr>
            <w:rFonts w:ascii="Arial" w:hAnsi="Arial" w:cs="Arial"/>
            <w:noProof/>
            <w:webHidden/>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68" w:history="1">
        <w:r w:rsidR="001F5BE4" w:rsidRPr="001F5BE4">
          <w:rPr>
            <w:rStyle w:val="Hyperlink"/>
            <w:rFonts w:ascii="Arial" w:hAnsi="Arial" w:cs="Arial"/>
            <w:noProof/>
          </w:rPr>
          <w:t>3.3</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Optimización del cargado</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_Toc429397068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14</w:t>
        </w:r>
        <w:r w:rsidR="001F5BE4" w:rsidRPr="001F5BE4">
          <w:rPr>
            <w:rFonts w:ascii="Arial" w:hAnsi="Arial" w:cs="Arial"/>
            <w:noProof/>
            <w:webHidden/>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69" w:history="1">
        <w:r w:rsidR="001F5BE4" w:rsidRPr="001F5BE4">
          <w:rPr>
            <w:rStyle w:val="Hyperlink"/>
            <w:rFonts w:ascii="Arial" w:hAnsi="Arial" w:cs="Arial"/>
            <w:noProof/>
          </w:rPr>
          <w:t>3.4</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Propuesta para controlar la liberación</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_Toc429397069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15</w:t>
        </w:r>
        <w:r w:rsidR="001F5BE4" w:rsidRPr="001F5BE4">
          <w:rPr>
            <w:rFonts w:ascii="Arial" w:hAnsi="Arial" w:cs="Arial"/>
            <w:noProof/>
            <w:webHidden/>
          </w:rPr>
          <w:fldChar w:fldCharType="end"/>
        </w:r>
      </w:hyperlink>
    </w:p>
    <w:p w:rsidR="001F5BE4" w:rsidRPr="001F5BE4" w:rsidRDefault="00961F8F" w:rsidP="001F5BE4">
      <w:pPr>
        <w:pStyle w:val="TOC2"/>
        <w:tabs>
          <w:tab w:val="left" w:pos="960"/>
          <w:tab w:val="right" w:pos="8210"/>
        </w:tabs>
        <w:spacing w:line="240" w:lineRule="auto"/>
        <w:rPr>
          <w:rFonts w:ascii="Arial" w:eastAsiaTheme="minorEastAsia" w:hAnsi="Arial" w:cs="Arial"/>
          <w:b w:val="0"/>
          <w:bCs w:val="0"/>
          <w:noProof/>
          <w:lang w:val="es-ES" w:eastAsia="es-ES"/>
        </w:rPr>
      </w:pPr>
      <w:hyperlink w:anchor="_Toc429397070" w:history="1">
        <w:r w:rsidR="001F5BE4" w:rsidRPr="001F5BE4">
          <w:rPr>
            <w:rStyle w:val="Hyperlink"/>
            <w:rFonts w:ascii="Arial" w:hAnsi="Arial" w:cs="Arial"/>
            <w:noProof/>
          </w:rPr>
          <w:t>3.5</w:t>
        </w:r>
        <w:r w:rsidR="001F5BE4" w:rsidRPr="001F5BE4">
          <w:rPr>
            <w:rFonts w:ascii="Arial" w:eastAsiaTheme="minorEastAsia" w:hAnsi="Arial" w:cs="Arial"/>
            <w:b w:val="0"/>
            <w:bCs w:val="0"/>
            <w:noProof/>
            <w:lang w:val="es-ES" w:eastAsia="es-ES"/>
          </w:rPr>
          <w:tab/>
        </w:r>
        <w:r w:rsidR="001F5BE4" w:rsidRPr="001F5BE4">
          <w:rPr>
            <w:rStyle w:val="Hyperlink"/>
            <w:rFonts w:ascii="Arial" w:hAnsi="Arial" w:cs="Arial"/>
            <w:noProof/>
          </w:rPr>
          <w:t>Evaluación del potencial antimicrobiano del DADS libre y DADS encapsulado</w:t>
        </w:r>
        <w:r w:rsidR="001F5BE4" w:rsidRPr="001F5BE4">
          <w:rPr>
            <w:rFonts w:ascii="Arial" w:hAnsi="Arial" w:cs="Arial"/>
            <w:noProof/>
            <w:webHidden/>
          </w:rPr>
          <w:tab/>
        </w:r>
        <w:r w:rsidR="001F5BE4" w:rsidRPr="001F5BE4">
          <w:rPr>
            <w:rFonts w:ascii="Arial" w:hAnsi="Arial" w:cs="Arial"/>
            <w:noProof/>
            <w:webHidden/>
          </w:rPr>
          <w:fldChar w:fldCharType="begin"/>
        </w:r>
        <w:r w:rsidR="001F5BE4" w:rsidRPr="001F5BE4">
          <w:rPr>
            <w:rFonts w:ascii="Arial" w:hAnsi="Arial" w:cs="Arial"/>
            <w:noProof/>
            <w:webHidden/>
          </w:rPr>
          <w:instrText xml:space="preserve"> PAGEREF _Toc429397070 \h </w:instrText>
        </w:r>
        <w:r w:rsidR="001F5BE4" w:rsidRPr="001F5BE4">
          <w:rPr>
            <w:rFonts w:ascii="Arial" w:hAnsi="Arial" w:cs="Arial"/>
            <w:noProof/>
            <w:webHidden/>
          </w:rPr>
        </w:r>
        <w:r w:rsidR="001F5BE4" w:rsidRPr="001F5BE4">
          <w:rPr>
            <w:rFonts w:ascii="Arial" w:hAnsi="Arial" w:cs="Arial"/>
            <w:noProof/>
            <w:webHidden/>
          </w:rPr>
          <w:fldChar w:fldCharType="separate"/>
        </w:r>
        <w:r w:rsidR="001F5BE4" w:rsidRPr="001F5BE4">
          <w:rPr>
            <w:rFonts w:ascii="Arial" w:hAnsi="Arial" w:cs="Arial"/>
            <w:noProof/>
            <w:webHidden/>
          </w:rPr>
          <w:t>15</w:t>
        </w:r>
        <w:r w:rsidR="001F5BE4" w:rsidRPr="001F5BE4">
          <w:rPr>
            <w:rFonts w:ascii="Arial" w:hAnsi="Arial" w:cs="Arial"/>
            <w:noProof/>
            <w:webHidden/>
          </w:rPr>
          <w:fldChar w:fldCharType="end"/>
        </w:r>
      </w:hyperlink>
    </w:p>
    <w:p w:rsidR="001F5BE4" w:rsidRPr="001F5BE4" w:rsidRDefault="00961F8F" w:rsidP="001F5BE4">
      <w:pPr>
        <w:pStyle w:val="TOC1"/>
        <w:tabs>
          <w:tab w:val="left" w:pos="720"/>
          <w:tab w:val="right" w:pos="8210"/>
        </w:tabs>
        <w:spacing w:line="240" w:lineRule="auto"/>
        <w:rPr>
          <w:rFonts w:ascii="Arial" w:eastAsiaTheme="minorEastAsia" w:hAnsi="Arial" w:cs="Arial"/>
          <w:b w:val="0"/>
          <w:bCs w:val="0"/>
          <w:caps w:val="0"/>
          <w:noProof/>
          <w:sz w:val="20"/>
          <w:szCs w:val="20"/>
          <w:lang w:val="es-ES" w:eastAsia="es-ES"/>
        </w:rPr>
      </w:pPr>
      <w:hyperlink w:anchor="_Toc429397071" w:history="1">
        <w:r w:rsidR="001F5BE4" w:rsidRPr="001F5BE4">
          <w:rPr>
            <w:rStyle w:val="Hyperlink"/>
            <w:rFonts w:ascii="Arial" w:hAnsi="Arial" w:cs="Arial"/>
            <w:noProof/>
            <w:sz w:val="20"/>
            <w:szCs w:val="20"/>
          </w:rPr>
          <w:t>4</w:t>
        </w:r>
        <w:r w:rsidR="001F5BE4" w:rsidRPr="001F5BE4">
          <w:rPr>
            <w:rFonts w:ascii="Arial" w:eastAsiaTheme="minorEastAsia" w:hAnsi="Arial" w:cs="Arial"/>
            <w:b w:val="0"/>
            <w:bCs w:val="0"/>
            <w:caps w:val="0"/>
            <w:noProof/>
            <w:sz w:val="20"/>
            <w:szCs w:val="20"/>
            <w:lang w:val="es-ES" w:eastAsia="es-ES"/>
          </w:rPr>
          <w:tab/>
        </w:r>
        <w:r w:rsidR="001F5BE4" w:rsidRPr="001F5BE4">
          <w:rPr>
            <w:rStyle w:val="Hyperlink"/>
            <w:rFonts w:ascii="Arial" w:hAnsi="Arial" w:cs="Arial"/>
            <w:noProof/>
            <w:sz w:val="20"/>
            <w:szCs w:val="20"/>
          </w:rPr>
          <w:t>CONCLUSIONES</w:t>
        </w:r>
        <w:r w:rsidR="001F5BE4" w:rsidRPr="001F5BE4">
          <w:rPr>
            <w:rFonts w:ascii="Arial" w:hAnsi="Arial" w:cs="Arial"/>
            <w:noProof/>
            <w:webHidden/>
            <w:sz w:val="20"/>
            <w:szCs w:val="20"/>
          </w:rPr>
          <w:tab/>
        </w:r>
        <w:r w:rsidR="001F5BE4" w:rsidRPr="001F5BE4">
          <w:rPr>
            <w:rFonts w:ascii="Arial" w:hAnsi="Arial" w:cs="Arial"/>
            <w:noProof/>
            <w:webHidden/>
            <w:sz w:val="20"/>
            <w:szCs w:val="20"/>
          </w:rPr>
          <w:fldChar w:fldCharType="begin"/>
        </w:r>
        <w:r w:rsidR="001F5BE4" w:rsidRPr="001F5BE4">
          <w:rPr>
            <w:rFonts w:ascii="Arial" w:hAnsi="Arial" w:cs="Arial"/>
            <w:noProof/>
            <w:webHidden/>
            <w:sz w:val="20"/>
            <w:szCs w:val="20"/>
          </w:rPr>
          <w:instrText xml:space="preserve"> PAGEREF _Toc429397071 \h </w:instrText>
        </w:r>
        <w:r w:rsidR="001F5BE4" w:rsidRPr="001F5BE4">
          <w:rPr>
            <w:rFonts w:ascii="Arial" w:hAnsi="Arial" w:cs="Arial"/>
            <w:noProof/>
            <w:webHidden/>
            <w:sz w:val="20"/>
            <w:szCs w:val="20"/>
          </w:rPr>
        </w:r>
        <w:r w:rsidR="001F5BE4" w:rsidRPr="001F5BE4">
          <w:rPr>
            <w:rFonts w:ascii="Arial" w:hAnsi="Arial" w:cs="Arial"/>
            <w:noProof/>
            <w:webHidden/>
            <w:sz w:val="20"/>
            <w:szCs w:val="20"/>
          </w:rPr>
          <w:fldChar w:fldCharType="separate"/>
        </w:r>
        <w:r w:rsidR="001F5BE4" w:rsidRPr="001F5BE4">
          <w:rPr>
            <w:rFonts w:ascii="Arial" w:hAnsi="Arial" w:cs="Arial"/>
            <w:noProof/>
            <w:webHidden/>
            <w:sz w:val="20"/>
            <w:szCs w:val="20"/>
          </w:rPr>
          <w:t>17</w:t>
        </w:r>
        <w:r w:rsidR="001F5BE4" w:rsidRPr="001F5BE4">
          <w:rPr>
            <w:rFonts w:ascii="Arial" w:hAnsi="Arial" w:cs="Arial"/>
            <w:noProof/>
            <w:webHidden/>
            <w:sz w:val="20"/>
            <w:szCs w:val="20"/>
          </w:rPr>
          <w:fldChar w:fldCharType="end"/>
        </w:r>
      </w:hyperlink>
    </w:p>
    <w:p w:rsidR="001F5BE4" w:rsidRPr="001F5BE4" w:rsidRDefault="00961F8F" w:rsidP="001F5BE4">
      <w:pPr>
        <w:pStyle w:val="TOC1"/>
        <w:tabs>
          <w:tab w:val="right" w:pos="8210"/>
        </w:tabs>
        <w:spacing w:line="240" w:lineRule="auto"/>
        <w:rPr>
          <w:rFonts w:ascii="Arial" w:eastAsiaTheme="minorEastAsia" w:hAnsi="Arial" w:cs="Arial"/>
          <w:b w:val="0"/>
          <w:bCs w:val="0"/>
          <w:caps w:val="0"/>
          <w:noProof/>
          <w:sz w:val="20"/>
          <w:szCs w:val="20"/>
          <w:lang w:val="es-ES" w:eastAsia="es-ES"/>
        </w:rPr>
      </w:pPr>
      <w:hyperlink w:anchor="_Toc429397072" w:history="1">
        <w:r w:rsidR="001F5BE4" w:rsidRPr="001F5BE4">
          <w:rPr>
            <w:rStyle w:val="Hyperlink"/>
            <w:rFonts w:ascii="Arial" w:hAnsi="Arial" w:cs="Arial"/>
            <w:noProof/>
            <w:sz w:val="20"/>
            <w:szCs w:val="20"/>
            <w:lang w:val="en-US"/>
          </w:rPr>
          <w:t>REFERENCIAS</w:t>
        </w:r>
        <w:r w:rsidR="001F5BE4" w:rsidRPr="001F5BE4">
          <w:rPr>
            <w:rFonts w:ascii="Arial" w:hAnsi="Arial" w:cs="Arial"/>
            <w:noProof/>
            <w:webHidden/>
            <w:sz w:val="20"/>
            <w:szCs w:val="20"/>
          </w:rPr>
          <w:tab/>
        </w:r>
        <w:r w:rsidR="001F5BE4" w:rsidRPr="001F5BE4">
          <w:rPr>
            <w:rFonts w:ascii="Arial" w:hAnsi="Arial" w:cs="Arial"/>
            <w:noProof/>
            <w:webHidden/>
            <w:sz w:val="20"/>
            <w:szCs w:val="20"/>
          </w:rPr>
          <w:fldChar w:fldCharType="begin"/>
        </w:r>
        <w:r w:rsidR="001F5BE4" w:rsidRPr="001F5BE4">
          <w:rPr>
            <w:rFonts w:ascii="Arial" w:hAnsi="Arial" w:cs="Arial"/>
            <w:noProof/>
            <w:webHidden/>
            <w:sz w:val="20"/>
            <w:szCs w:val="20"/>
          </w:rPr>
          <w:instrText xml:space="preserve"> PAGEREF _Toc429397072 \h </w:instrText>
        </w:r>
        <w:r w:rsidR="001F5BE4" w:rsidRPr="001F5BE4">
          <w:rPr>
            <w:rFonts w:ascii="Arial" w:hAnsi="Arial" w:cs="Arial"/>
            <w:noProof/>
            <w:webHidden/>
            <w:sz w:val="20"/>
            <w:szCs w:val="20"/>
          </w:rPr>
        </w:r>
        <w:r w:rsidR="001F5BE4" w:rsidRPr="001F5BE4">
          <w:rPr>
            <w:rFonts w:ascii="Arial" w:hAnsi="Arial" w:cs="Arial"/>
            <w:noProof/>
            <w:webHidden/>
            <w:sz w:val="20"/>
            <w:szCs w:val="20"/>
          </w:rPr>
          <w:fldChar w:fldCharType="separate"/>
        </w:r>
        <w:r w:rsidR="001F5BE4" w:rsidRPr="001F5BE4">
          <w:rPr>
            <w:rFonts w:ascii="Arial" w:hAnsi="Arial" w:cs="Arial"/>
            <w:noProof/>
            <w:webHidden/>
            <w:sz w:val="20"/>
            <w:szCs w:val="20"/>
          </w:rPr>
          <w:t>18</w:t>
        </w:r>
        <w:r w:rsidR="001F5BE4" w:rsidRPr="001F5BE4">
          <w:rPr>
            <w:rFonts w:ascii="Arial" w:hAnsi="Arial" w:cs="Arial"/>
            <w:noProof/>
            <w:webHidden/>
            <w:sz w:val="20"/>
            <w:szCs w:val="20"/>
          </w:rPr>
          <w:fldChar w:fldCharType="end"/>
        </w:r>
      </w:hyperlink>
    </w:p>
    <w:p w:rsidR="009E4A35" w:rsidRDefault="009E4A35" w:rsidP="001F5BE4">
      <w:pPr>
        <w:spacing w:after="0" w:line="240" w:lineRule="auto"/>
        <w:ind w:firstLine="0"/>
        <w:jc w:val="left"/>
        <w:rPr>
          <w:rFonts w:eastAsiaTheme="majorEastAsia" w:cstheme="majorBidi"/>
          <w:b/>
          <w:bCs/>
          <w:szCs w:val="28"/>
          <w:lang w:val="es-ES"/>
        </w:rPr>
      </w:pPr>
      <w:r w:rsidRPr="001F5BE4">
        <w:rPr>
          <w:rFonts w:cs="Arial"/>
          <w:b/>
          <w:bCs/>
          <w:caps/>
          <w:sz w:val="20"/>
          <w:szCs w:val="20"/>
          <w:lang w:val="es-ES"/>
        </w:rPr>
        <w:fldChar w:fldCharType="end"/>
      </w:r>
      <w:r>
        <w:rPr>
          <w:lang w:val="es-ES"/>
        </w:rPr>
        <w:br w:type="page"/>
      </w:r>
    </w:p>
    <w:p w:rsidR="00BB5CE9" w:rsidRDefault="00175A0B" w:rsidP="005A6063">
      <w:pPr>
        <w:pStyle w:val="Heading1"/>
        <w:rPr>
          <w:lang w:val="es-ES"/>
        </w:rPr>
      </w:pPr>
      <w:bookmarkStart w:id="8" w:name="_Toc428350258"/>
      <w:bookmarkStart w:id="9" w:name="_Toc429397050"/>
      <w:r w:rsidRPr="005A6063">
        <w:lastRenderedPageBreak/>
        <w:t>INTRODUCCIÓ</w:t>
      </w:r>
      <w:r w:rsidR="00334117" w:rsidRPr="005A6063">
        <w:t>N</w:t>
      </w:r>
      <w:bookmarkEnd w:id="7"/>
      <w:bookmarkEnd w:id="8"/>
      <w:bookmarkEnd w:id="9"/>
    </w:p>
    <w:p w:rsidR="00334117" w:rsidRPr="00CB5911" w:rsidRDefault="00334117" w:rsidP="00234195">
      <w:pPr>
        <w:spacing w:after="0" w:line="240" w:lineRule="auto"/>
        <w:rPr>
          <w:lang w:val="es-ES"/>
        </w:rPr>
      </w:pPr>
      <w:r w:rsidRPr="00CB5911">
        <w:rPr>
          <w:lang w:val="es-ES"/>
        </w:rPr>
        <w:t>El ajo es un alimento rico en hidratos de carbono, sales minerales</w:t>
      </w:r>
      <w:r w:rsidR="000D7EED" w:rsidRPr="00CB5911">
        <w:rPr>
          <w:lang w:val="es-ES"/>
        </w:rPr>
        <w:t xml:space="preserve"> y</w:t>
      </w:r>
      <w:r w:rsidRPr="00CB5911">
        <w:rPr>
          <w:lang w:val="es-ES"/>
        </w:rPr>
        <w:t xml:space="preserve"> vitaminas </w:t>
      </w:r>
      <w:r w:rsidR="00482127" w:rsidRPr="00CB5911">
        <w:rPr>
          <w:lang w:val="es-ES"/>
        </w:rPr>
        <w:fldChar w:fldCharType="begin" w:fldLock="1"/>
      </w:r>
      <w:r w:rsidR="0045707D">
        <w:rPr>
          <w:lang w:val="es-ES"/>
        </w:rPr>
        <w:instrText>ADDIN CSL_CITATION { "citationItems" : [ { "id" : "ITEM-1", "itemData" : { "DOI" : "10.1021/jf00059a033", "ISBN" : "0021-8561", "ISSN" : "0021-8561", "abstract" : "Stir-fried garlic was extracted by supercritical CO2 at 200 kg/cm2 and 40 \ufffdC. The extract contained only ~1% of the original frying oil. The volatile compounds of the extract were then analyzed by the purge and trap method and by the simultaneous distillation and extraction method. Dimethyl sulfide, allyl alcohol, diallyl sulfide, methyl allyl disulfide, and diallyl disulfide were the major volatile compounds found by headspace gas analysis. On the other hand, the major volatile compounds of stir-fried garlic isolated by simultaneous distillation and extraction were diallyl disulfide, diallyl trisulfide, and dithiins. The advantages and disadvantages of these flavor isolation methods are discussed and compared with published data. The lower thermal effect of the headspace gas analysis resulted in no propyl sulfides and heterocyclic compounds being found and a higher yield of low-boiling-point compounds. The total percentage of vinyldithiins of stir-fried garlic was &gt;30% as isolated by the simultaneous distillation and extraction method ; however, vinyldithiins were still not significantly recovered, even when the purge time was prolonged to 35 min.", "author" : [ { "dropping-particle" : "", "family" : "Kim", "given" : "S M", "non-dropping-particle" : "", "parse-names" : false, "suffix" : "" }, { "dropping-particle" : "", "family" : "Wu", "given" : "C-M.", "non-dropping-particle" : "", "parse-names" : false, "suffix" : "" }, { "dropping-particle" : "", "family" : "Kobayashi", "given" : "a", "non-dropping-particle" : "", "parse-names" : false, "suffix" : "" }, { "dropping-particle" : "", "family" : "Kubota", "given" : "K", "non-dropping-particle" : "", "parse-names" : false, "suffix" : "" }, { "dropping-particle" : "", "family" : "Okumura", "given" : "J", "non-dropping-particle" : "", "parse-names" : false, "suffix" : "" } ], "container-title" : "Journal of Agricultural and Food Chemistry", "id" : "ITEM-1", "issue" : "11", "issued" : { "date-parts" : [ [ "1995" ] ] }, "page" : "2951-2955", "title" : "Volatile Compounds in Stir-Fried Garlic", "type" : "article-journal", "volume" : "43" }, "uris" : [ "http://www.mendeley.com/documents/?uuid=17a64126-a577-45d5-8aa2-145ea92555e1" ] }, { "id" : "ITEM-2", "itemData" : { "DOI" : "10.1021/jf00024a017", "ISSN" : "0021-8561", "PMID" : "6454", "abstract" : "Room temperature vacuum distillates and extracts of onion (Allium cepa), garlic (Allium sativum), wild garlic (Allium ursinum), leek (Allium porrum L.), scallion (Allium fistulosum L.), shallot (Allium ascalonicum auct.), elephant (or great-headed) garlic (Allium ampeloprasum L. var. ampeloprasum auct.), chive (Allium schoenoprasum L.), and Chinese chive (Allium tuberosum L.) were analyzed by HPLC and H-1 NMR using authentic samples of suspected thiosulfinate components to evaluate the methods. Of the eight different thiosulfinates separated and identified in each plant extract, several are reported here for the first time. It is concluded that gas chromatography, as typically performed with high injector and column temperatures, presents an erroneous picture of the composition of room temperature extracts from Allium species and that HPLC provides a reliable qualitative and semiquantitative measure of what is actually present. A simple vacuum distillation procedure facilitating qualitative analysis of Allium volatiles is described. A number of significant trends are noted regarding the varying proportions of different thiosulfinates in each Allium species. In particular, some garlic varieties grown in cooler climates show a higher allyl to methyl ratio than garlic grown in warmer climates.", "author" : [ { "dropping-particle" : "", "family" : "Block", "given" : "E", "non-dropping-particle" : "", "parse-names" : false, "suffix" : "" }, { "dropping-particle" : "", "family" : "Naganathan", "given" : "S", "non-dropping-particle" : "", "parse-names" : false, "suffix" : "" }, { "dropping-particle" : "", "family" : "Putman", "given" : "D", "non-dropping-particle" : "", "parse-names" : false, "suffix" : "" }, { "dropping-particle" : "", "family" : "Zhao", "given" : "S H", "non-dropping-particle" : "", "parse-names" : false, "suffix" : "" } ], "container-title" : "Journal of Agricultural and Food Chemistry", "id" : "ITEM-2", "issue" : "12", "issued" : { "date-parts" : [ [ "1992" ] ] }, "page" : "2418-2430", "title" : "Allium Chemistry - Hplc Analysis of Thiosulfinates From Onion, Garlic, Wild Garlic (Ramsoms), Leek, Scallion, Shallot, Elephant (Great-Headed) Garlic, Chive, and Chinese Chive - Uniquely High Allyl To Methyl Ratios in Some Garlic Samples", "type" : "article-journal", "volume" : "40" }, "uris" : [ "http://www.mendeley.com/documents/?uuid=27144dd6-d9a6-43d8-a892-b77af19c3e1d" ] } ], "mendeley" : { "formattedCitation" : "(Block et al. 1992; S. M. Kim et al. 1995)", "plainTextFormattedCitation" : "(Block et al. 1992; S. M. Kim et al. 1995)", "previouslyFormattedCitation" : "(Block et al. 1992; S. M. Kim et al. 1995)" }, "properties" : { "noteIndex" : 0 }, "schema" : "https://github.com/citation-style-language/schema/raw/master/csl-citation.json" }</w:instrText>
      </w:r>
      <w:r w:rsidR="00482127" w:rsidRPr="00CB5911">
        <w:rPr>
          <w:lang w:val="es-ES"/>
        </w:rPr>
        <w:fldChar w:fldCharType="separate"/>
      </w:r>
      <w:r w:rsidR="00D84752" w:rsidRPr="00D84752">
        <w:rPr>
          <w:noProof/>
          <w:lang w:val="es-ES"/>
        </w:rPr>
        <w:t>(Block et al. 1992; Kim et al. 1995)</w:t>
      </w:r>
      <w:r w:rsidR="00482127" w:rsidRPr="00CB5911">
        <w:rPr>
          <w:lang w:val="es-ES"/>
        </w:rPr>
        <w:fldChar w:fldCharType="end"/>
      </w:r>
      <w:r w:rsidRPr="00CB5911">
        <w:rPr>
          <w:lang w:val="es-ES"/>
        </w:rPr>
        <w:t xml:space="preserve">. Adicionalmente, contiene una elevada cantidad de compuestos azufrados, que se asocian con las propiedades funcionales de este alimento. </w:t>
      </w:r>
    </w:p>
    <w:p w:rsidR="00334117" w:rsidRPr="004173E1" w:rsidRDefault="00334117" w:rsidP="00F83064">
      <w:pPr>
        <w:spacing w:after="0" w:line="240" w:lineRule="auto"/>
        <w:rPr>
          <w:noProof/>
          <w:lang w:val="es-ES"/>
        </w:rPr>
      </w:pPr>
      <w:r w:rsidRPr="00CB5911">
        <w:rPr>
          <w:lang w:val="es-ES"/>
        </w:rPr>
        <w:t>La aliína, es uno de los principales compuestos azufrados, sin embargo es muy inestable debido a que el enzima alinasa, liberad</w:t>
      </w:r>
      <w:r w:rsidR="006E1890">
        <w:rPr>
          <w:lang w:val="es-ES"/>
        </w:rPr>
        <w:t>a</w:t>
      </w:r>
      <w:r w:rsidRPr="00CB5911">
        <w:rPr>
          <w:lang w:val="es-ES"/>
        </w:rPr>
        <w:t xml:space="preserve"> en los procesos</w:t>
      </w:r>
      <w:r w:rsidR="006E1890">
        <w:rPr>
          <w:lang w:val="es-ES"/>
        </w:rPr>
        <w:t xml:space="preserve"> de corte o masticación del ajo</w:t>
      </w:r>
      <w:r w:rsidR="005A7325">
        <w:rPr>
          <w:lang w:val="es-ES"/>
        </w:rPr>
        <w:t>,</w:t>
      </w:r>
      <w:r w:rsidRPr="00CB5911">
        <w:rPr>
          <w:lang w:val="es-ES"/>
        </w:rPr>
        <w:t xml:space="preserve"> lo transforma en alicina. </w:t>
      </w:r>
      <w:r w:rsidR="006E1890">
        <w:rPr>
          <w:lang w:val="es-ES"/>
        </w:rPr>
        <w:t>La alicina a su vez,</w:t>
      </w:r>
      <w:r w:rsidRPr="00CB5911">
        <w:rPr>
          <w:lang w:val="es-ES"/>
        </w:rPr>
        <w:t xml:space="preserve"> se descompone rápidamente en diferentes compuestos como el dialil sulfuro, dialil disulfuro </w:t>
      </w:r>
      <w:r w:rsidR="000D7EED" w:rsidRPr="00CB5911">
        <w:rPr>
          <w:lang w:val="es-ES"/>
        </w:rPr>
        <w:t>y dialil trisulfuro, de entre lo</w:t>
      </w:r>
      <w:r w:rsidRPr="00CB5911">
        <w:rPr>
          <w:lang w:val="es-ES"/>
        </w:rPr>
        <w:t xml:space="preserve">s cuales el dialil disulfuro supone aproximadamente el 74% del producto de descomposición </w:t>
      </w:r>
      <w:r w:rsidR="00482127" w:rsidRPr="00CB5911">
        <w:rPr>
          <w:lang w:val="es-ES"/>
        </w:rPr>
        <w:fldChar w:fldCharType="begin" w:fldLock="1"/>
      </w:r>
      <w:r w:rsidR="00CB5911">
        <w:rPr>
          <w:lang w:val="es-ES"/>
        </w:rPr>
        <w:instrText>ADDIN CSL_CITATION { "citationItems" : [ { "id" : "ITEM-1", "itemData" : { "DOI" : "10.1021/jf00087a032", "ISSN" : "0021-8561", "abstract" : "Volatile components of crushed garlic were obtained by water distillation, stean distillation and L-N distillation/solvent extraction with or without steam, respectively. The volatile components were analyzed and identified by capillary GC and combined GC/MS. The yield of garlic essential oils was 0.22 \ufffd 0.01 % (w/w). Monosulfides, disulfides, and trisulfides were the major volatile components in garlic essential oils. Of 28 components, 13 were being reported for the first time as components of garlic. The essential oils obtained by L-N distillation/solvent extraction contained more 2,4-dimethylfuran, 2-propen-1-ol, aniline and 3,5-diethyl-1,2,4-trithiolane than those from water distillation and steam distillation. Water layer of garlic distillate contained more 3,5-diethyl-1,2,4-trithiolane and 2-propen-1-ol than its oil layer. The essential oils obtained by steam distillations contained more high-volatility compounds and less low-volatility compounds than those by water distillations.", "author" : [ { "dropping-particle" : "", "family" : "Tung-Hsi", "given" : "Yu", "non-dropping-particle" : "", "parse-names" : false, "suffix" : "" }, { "dropping-particle" : "", "family" : "Wu", "given" : "Chung-May", "non-dropping-particle" : "", "parse-names" : false, "suffix" : "" }, { "dropping-particle" : "", "family" : "Liou", "given" : "Yoh-Cherng", "non-dropping-particle" : "", "parse-names" : false, "suffix" : "" } ], "container-title" : "Journal of agricultural and food chemistry", "id" : "ITEM-1", "issued" : { "date-parts" : [ [ "1989" ] ] }, "page" : "725-730", "title" : "Volatile Compounds from Garlic", "type" : "article-journal", "volume" : "37" }, "uris" : [ "http://www.mendeley.com/documents/?uuid=4983a70e-ee3b-4b9f-b3e4-8cbfdab89d28" ] }, { "id" : "ITEM-2", "itemData" : { "DOI" : "10.1021/jf970314e", "ISBN" : "0021-8561", "ISSN" : "00218561 (ISSN)", "abstract" : "Supercritical fluid (SF) extracts of homogenized garlic (Allium sativum L.), ramp (A. tricoccum Ait.), and onion (A. cepa) were characterized with liquid chromatography (LC) and atmospheric pressure chemical ionization mass spectrometric identification. The major thiosulfinates from garlic and ramp were readily characterized by this technique. Small quantities of ajoene, a potent antithrombotic agent, were also found in SF extracts of garlic homogenates. The profiles of onion juice extracts revealed the usual thiosulfinates, zwiebelanes, and bissulfine reported in prior studies, as well as cepaenes previously identified in extracts of onion juice through extensive isolation steps and spectroscopic methods. The presence of trace quantities of allyl compounds in onion juice and propyl compounds in garlic and ramp homogenates has been verified by LC-mass spectrometry (MS). The presence of these compounds was not readily evident in previous analyses using gas chromatography-MS with cold-on-column injection and reversed-phase or normal phase LC with UV detection.", "author" : [ { "dropping-particle" : "", "family" : "Calvey", "given" : "E", "non-dropping-particle" : "", "parse-names" : false, "suffix" : "" }, { "dropping-particle" : "", "family" : "Matusik", "given" : "J", "non-dropping-particle" : "", "parse-names" : false, "suffix" : "" }, { "dropping-particle" : "", "family" : "White", "given" : "K D", "non-dropping-particle" : "", "parse-names" : false, "suffix" : "" }, { "dropping-particle" : "", "family" : "DeOrazio", "given" : "R", "non-dropping-particle" : "", "parse-names" : false, "suffix" : "" }, { "dropping-particle" : "", "family" : "Sha", "given" : "D", "non-dropping-particle" : "", "parse-names" : false, "suffix" : "" }, { "dropping-particle" : "", "family" : "Block", "given" : "E", "non-dropping-particle" : "", "parse-names" : false, "suffix" : "" } ], "container-title" : "Journal of Agricultural and Food Chemistry", "id" : "ITEM-2", "issue" : "11", "issued" : { "date-parts" : [ [ "1997" ] ] }, "page" : "4406-4413", "title" : "Allium chemistry : supercritical fluid extraction and LC/APCI/MS of thiosulfinates and related compounds from homogenates of garlic, onion and ramp. Identification in garlic and ramp and synthesis of 1-propanesulfinothioic acid S-allyl ester.", "type" : "article-journal", "volume" : "45" }, "uris" : [ "http://www.mendeley.com/documents/?uuid=34219644-ef88-458d-b197-94ae85ed735b" ] }, { "id" : "ITEM-3", "itemData" : { "DOI" : "10.1016/j.chroma.2005.12.016", "ISBN" : "0021-9673", "ISSN" : "00219673", "PMID" : "16388813", "abstract" : "Onion (Allium cepa L.) and garlic (Allium sativum L.), among the oldest cultivated plants, are used both as a food and for medicinal applications. In fact, these common food plants are a rich source of several phytonutrients recognized as important elements of the Mediterranean diet, but are also used in the treatment and prevention of a number of diseases, including cancer, coronary heart disease, obesity, hypercholesterolemia, diabetes type 2, hypertension, cataract and disturbances of the gastrointestinal tract (e.g. colic pain, flatulent colic and dyspepsia). These activities are related to the thiosulfinates, volatile sulfur compounds, which are also responsible for the pungent of these vegetables. Besides these low-molecular weight compounds, onion and garlic are characterized by more polar compounds of phenolic and steroidal origin, often glycosilated, showing interesting pharmacological properties. These latter compounds, compared to the more studied thiosulfinates, present the advantages to be not pungent and more stable to cooking. Recently, there has been an increasing scientific attention on such compounds. In this paper, the literature about the major volatile and non-volatile phytoconstituents of onion and garlic has been reviewed. Particular attention was given to the different methodology developed to perform chemical analysis, including separation and structural elucidation. ?? 2005 Elsevier B.V. All rights reserved.", "author" : [ { "dropping-particle" : "", "family" : "Lanzotti", "given" : "Virginia", "non-dropping-particle" : "", "parse-names" : false, "suffix" : "" } ], "container-title" : "Journal of Chromatography A", "id" : "ITEM-3", "issue" : "1-2", "issued" : { "date-parts" : [ [ "2006" ] ] }, "page" : "3-22", "title" : "The analysis of onion and garlic", "type" : "article-journal", "volume" : "1112" }, "uris" : [ "http://www.mendeley.com/documents/?uuid=71922745-17b9-4067-9e75-7bab53fc4f6a" ] } ], "mendeley" : { "formattedCitation" : "(Calvey et al. 1997; Lanzotti 2006; Tung-Hsi, Wu, and Liou 1989)", "plainTextFormattedCitation" : "(Calvey et al. 1997; Lanzotti 2006; Tung-Hsi, Wu, and Liou 1989)", "previouslyFormattedCitation" : "(Calvey et al. 1997; Lanzotti 2006; Tung-Hsi, Wu, and Liou 1989)" }, "properties" : { "noteIndex" : 0 }, "schema" : "https://github.com/citation-style-language/schema/raw/master/csl-citation.json" }</w:instrText>
      </w:r>
      <w:r w:rsidR="00482127" w:rsidRPr="00CB5911">
        <w:rPr>
          <w:lang w:val="es-ES"/>
        </w:rPr>
        <w:fldChar w:fldCharType="separate"/>
      </w:r>
      <w:r w:rsidR="00CB5911" w:rsidRPr="004173E1">
        <w:rPr>
          <w:noProof/>
          <w:lang w:val="es-ES"/>
        </w:rPr>
        <w:t xml:space="preserve">(Calvey et al. 1997; Lanzotti 2006; Tung-Hsi, Wu, </w:t>
      </w:r>
      <w:r w:rsidR="00F83064">
        <w:rPr>
          <w:noProof/>
          <w:lang w:val="es-ES"/>
        </w:rPr>
        <w:t>y</w:t>
      </w:r>
      <w:r w:rsidR="00CB5911" w:rsidRPr="004173E1">
        <w:rPr>
          <w:noProof/>
          <w:lang w:val="es-ES"/>
        </w:rPr>
        <w:t xml:space="preserve"> Liou 1989)</w:t>
      </w:r>
      <w:r w:rsidR="00482127" w:rsidRPr="00CB5911">
        <w:rPr>
          <w:lang w:val="es-ES"/>
        </w:rPr>
        <w:fldChar w:fldCharType="end"/>
      </w:r>
      <w:r w:rsidRPr="004173E1">
        <w:rPr>
          <w:lang w:val="es-ES"/>
        </w:rPr>
        <w:t xml:space="preserve">. </w:t>
      </w:r>
    </w:p>
    <w:p w:rsidR="00334117" w:rsidRPr="00DC420D" w:rsidRDefault="00334117" w:rsidP="00234195">
      <w:pPr>
        <w:spacing w:after="0" w:line="240" w:lineRule="auto"/>
        <w:rPr>
          <w:lang w:val="es-ES"/>
        </w:rPr>
      </w:pPr>
      <w:r w:rsidRPr="00DC420D">
        <w:rPr>
          <w:lang w:val="es-ES"/>
        </w:rPr>
        <w:t xml:space="preserve">Dentro de las propiedades funcionales del ajo, destacan </w:t>
      </w:r>
      <w:r w:rsidR="006E1890" w:rsidRPr="00DC420D">
        <w:rPr>
          <w:lang w:val="es-ES"/>
        </w:rPr>
        <w:t xml:space="preserve">la reducción del riesgo de enfermedades cardiovasculares </w:t>
      </w:r>
      <w:r w:rsidR="00482127" w:rsidRPr="00DC420D">
        <w:rPr>
          <w:lang w:val="es-ES"/>
        </w:rPr>
        <w:fldChar w:fldCharType="begin" w:fldLock="1"/>
      </w:r>
      <w:r w:rsidRPr="00DC420D">
        <w:rPr>
          <w:lang w:val="es-ES"/>
        </w:rPr>
        <w:instrText>ADDIN CSL_CITATION { "citationItems" : [ { "id" : "ITEM-1", "itemData" : { "author" : [ { "dropping-particle" : "", "family" : "Emmanuel", "given" : "Mpondo Mpondo", "non-dropping-particle" : "", "parse-names" : false, "suffix" : "" }, { "dropping-particle" : "", "family" : "Jacques", "given" : "Yinyang", "non-dropping-particle" : "", "parse-names" : false, "suffix" : "" }, { "dropping-particle" : "", "family" : "Didier", "given" : "Dibong Siegfried", "non-dropping-particle" : "", "parse-names" : false, "suffix" : "" } ], "id" : "ITEM-1", "issued" : { "date-parts" : [ [ "2015" ] ] }, "page" : "7804-7823", "title" : "Valorisation des plantes m\u00e9dicinales \u00e0 coumarines des march\u00e9s de Douala Est ( Cameroun )", "type" : "article-journal" }, "uris" : [ "http://www.mendeley.com/documents/?uuid=397f691f-baf4-4636-b019-e3f283362e9f" ] } ], "mendeley" : { "formattedCitation" : "(Emmanuel, Jacques, and Didier 2015)", "manualFormatting" : "(Emmanuel, et al., 2015)", "plainTextFormattedCitation" : "(Emmanuel, Jacques, and Didier 2015)", "previouslyFormattedCitation" : "(Emmanuel, Jacques, and Didier 2015)" }, "properties" : { "noteIndex" : 0 }, "schema" : "https://github.com/citation-style-language/schema/raw/master/csl-citation.json" }</w:instrText>
      </w:r>
      <w:r w:rsidR="00482127" w:rsidRPr="00DC420D">
        <w:rPr>
          <w:lang w:val="es-ES"/>
        </w:rPr>
        <w:fldChar w:fldCharType="separate"/>
      </w:r>
      <w:r w:rsidRPr="00DC420D">
        <w:rPr>
          <w:noProof/>
          <w:lang w:val="es-ES"/>
        </w:rPr>
        <w:t>(Emmanuel et al., 2015)</w:t>
      </w:r>
      <w:r w:rsidR="00482127" w:rsidRPr="00DC420D">
        <w:rPr>
          <w:lang w:val="es-ES"/>
        </w:rPr>
        <w:fldChar w:fldCharType="end"/>
      </w:r>
      <w:r w:rsidR="006E1890">
        <w:rPr>
          <w:lang w:val="es-ES"/>
        </w:rPr>
        <w:t>. El uso de</w:t>
      </w:r>
      <w:r w:rsidRPr="00DC420D">
        <w:rPr>
          <w:lang w:val="es-ES"/>
        </w:rPr>
        <w:t xml:space="preserve"> extractos de ajo</w:t>
      </w:r>
      <w:r w:rsidR="006E1890">
        <w:rPr>
          <w:lang w:val="es-ES"/>
        </w:rPr>
        <w:t xml:space="preserve"> ha logrado la</w:t>
      </w:r>
      <w:r w:rsidRPr="00DC420D">
        <w:rPr>
          <w:lang w:val="es-ES"/>
        </w:rPr>
        <w:t xml:space="preserve"> inhibición de la activación de plaquetas </w:t>
      </w:r>
      <w:r w:rsidR="00482127" w:rsidRPr="00DC420D">
        <w:rPr>
          <w:lang w:val="es-ES"/>
        </w:rPr>
        <w:fldChar w:fldCharType="begin" w:fldLock="1"/>
      </w:r>
      <w:r w:rsidRPr="00DC420D">
        <w:rPr>
          <w:lang w:val="es-ES"/>
        </w:rPr>
        <w:instrText>ADDIN CSL_CITATION { "citationItems" : [ { "id" : "ITEM-1", "itemData" : { "DOI" : "10.1016/j.lfs.2012.09.019", "ISSN" : "00243205", "PMID" : "23069586", "abstract" : "Aims: Increased platelet aggregation plays an important role in the etiology of cardiovascular disease. Garlic inhibits platelet aggregation; however, the mechanisms involved have not clearly been defined. This study was undertaken to investigate the mechanisms by which an aged garlic extract (AGE) inhibits both the activation and aggregation of human platelets. Main methods: Isolated human platelets were stimulated with ADP and their adhesion to fibrinogen was assessed using Rose Bengal or 51Cr uptake. Activation of platelets was assessed using fluorescence activated cell sorting (FACS) analysis along with measurement of intracellular cAMP. Key findings: AGE at concentrations in the range of 3.12 to 12.5% (v/v) inhibited the binding of platelets to fibrinogen by approximately 40% when compared to control values in the Rose Bengal assay (P &lt; 0.05). In the 51Cr experiments AGE significantly inhibited the binding of ADP-activated platelets to immobilized fibrinogen by 61.5% at 1.56% and 6.25% (v/v) of AGE respectively. At a concentration of 12.5% (v/v) the inhibition was 70.4% and at 25% (v/v) it was 64.5% respectively (P &lt; 0.05). In the fluorescence activated cell sorting (FACS) analysis, AGE significantly decreased the amount of PAC-1 binding to GPIIb/IIIa by approximately 72% compared with PBS control. In conjunction to these observations, AGE also increased platelet cAMP (P &lt; 0.01) levels. Significance: These findings suggest that AGE inhibits platelet aggregation via inhibition of the GPIIb/IIIa receptor and an increase in cAMP.Copyright ?? 2012 Published by Elsevier Inc. All rights reserved.", "author" : [ { "dropping-particle" : "", "family" : "Allison", "given" : "Gillian L.", "non-dropping-particle" : "", "parse-names" : false, "suffix" : "" }, { "dropping-particle" : "", "family" : "Lowe", "given" : "Gordon M.", "non-dropping-particle" : "", "parse-names" : false, "suffix" : "" }, { "dropping-particle" : "", "family" : "Rahman", "given" : "Khalid", "non-dropping-particle" : "", "parse-names" : false, "suffix" : "" } ], "container-title" : "Life Sciences", "id" : "ITEM-1", "issue" : "25-26", "issued" : { "date-parts" : [ [ "2012" ] ] }, "page" : "1275-1280", "title" : "Aged garlic extract inhibits platelet activation by increasing intracellular cAMP and reducing the interaction of GPIIb/IIIa receptor with fibrinogen", "type" : "article-journal", "volume" : "91" }, "uris" : [ "http://www.mendeley.com/documents/?uuid=2d447e62-6a85-466a-a34d-44f8ee502ff6" ] } ], "mendeley" : { "formattedCitation" : "(Allison, Lowe, and Rahman 2012)", "manualFormatting" : "(Allison et al., 2012)", "plainTextFormattedCitation" : "(Allison, Lowe, and Rahman 2012)", "previouslyFormattedCitation" : "(Allison, Lowe, and Rahman 2012)" }, "properties" : { "noteIndex" : 0 }, "schema" : "https://github.com/citation-style-language/schema/raw/master/csl-citation.json" }</w:instrText>
      </w:r>
      <w:r w:rsidR="00482127" w:rsidRPr="00DC420D">
        <w:rPr>
          <w:lang w:val="es-ES"/>
        </w:rPr>
        <w:fldChar w:fldCharType="separate"/>
      </w:r>
      <w:r w:rsidRPr="00DC420D">
        <w:rPr>
          <w:noProof/>
          <w:lang w:val="es-ES"/>
        </w:rPr>
        <w:t>(Allison et al. 2012)</w:t>
      </w:r>
      <w:r w:rsidR="00482127" w:rsidRPr="00DC420D">
        <w:rPr>
          <w:lang w:val="es-ES"/>
        </w:rPr>
        <w:fldChar w:fldCharType="end"/>
      </w:r>
      <w:r w:rsidRPr="00DC420D">
        <w:rPr>
          <w:lang w:val="es-ES"/>
        </w:rPr>
        <w:t xml:space="preserve">, </w:t>
      </w:r>
      <w:r w:rsidR="006E1890">
        <w:rPr>
          <w:lang w:val="es-ES"/>
        </w:rPr>
        <w:t xml:space="preserve">además se han encontrado </w:t>
      </w:r>
      <w:r w:rsidRPr="00DC420D">
        <w:rPr>
          <w:lang w:val="es-ES"/>
        </w:rPr>
        <w:t xml:space="preserve">efectos antioxidantes sobre </w:t>
      </w:r>
      <w:r w:rsidR="000D7EED" w:rsidRPr="00DC420D">
        <w:rPr>
          <w:lang w:val="es-ES"/>
        </w:rPr>
        <w:t>lipoproteínas de baja densidad</w:t>
      </w:r>
      <w:r w:rsidRPr="00DC420D">
        <w:rPr>
          <w:lang w:val="es-ES"/>
        </w:rPr>
        <w:t xml:space="preserve"> </w:t>
      </w:r>
      <w:r w:rsidR="00482127" w:rsidRPr="00DC420D">
        <w:rPr>
          <w:lang w:val="es-ES"/>
        </w:rPr>
        <w:fldChar w:fldCharType="begin" w:fldLock="1"/>
      </w:r>
      <w:r w:rsidRPr="00DC420D">
        <w:rPr>
          <w:lang w:val="es-ES"/>
        </w:rPr>
        <w:instrText>ADDIN CSL_CITATION { "citationItems" : [ { "id" : "ITEM-1", "itemData" : { "DOI" : "10.1016/S0024-3205(02)02475-X", "ISBN" : "4415123120", "ISSN" : "00243205", "PMID" : "12551747", "abstract" : "Oxidation of low-density lipoprotein (LDL) has been recognized as playing an important role in the development and progression of atherosclerotic heart disease. Human LDL was isolated and challenged with a range of oxidants either in the presence or absence of AGE or its diethyl ether extract. Oxidative modification of the LDL fraction using CuSO\n                        4, 5-lipoxygenase and xanthine/xanthine oxidase was monitored by both the appearance of thiobarbituric-acid substances (TBA-RS) and an increase in electrophoretic mobility.This study indicates that AGE is an effective antioxidant as it scavenged superoxide ions and reduced lipid peroxide formation in cell free assays. Superoxide production was completely inhibited in the presence of a 10% (v/v) aqueous preparation of AGE and reduced by 34% in the presence of a 10% (v/v) diethyl ether extract of AGE. The presence of 10% (v/v) diethyl ether extract of AGE significantly reduced Cu\n                        2+ and 15-lipoxygenase-mediated lipid peroxidation of isolated LDL by 81% and 37%, respectively. In addition, it was found that AGE also had the capacity to chelate copper ions. In contrast, the diethyl ether extract of AGE displayed no copper binding capacity, but demonstrated distinct antioxidant properties. These results support the view that AGE inhibits the in vitro oxidation of isolated LDL by scavenging superoxide and inhibiting the formation of lipid peroxides. AGE was also shown to reduce LDL oxidation by the chelation of Cu\n                        2+. Thus, AGE may have a role to play in preventing the development and progression of atherosclerotic disease. ?? 2002 Elsevier Science Inc. All rights reserved.", "author" : [ { "dropping-particle" : "", "family" : "Dillon", "given" : "Stephanie a.", "non-dropping-particle" : "", "parse-names" : false, "suffix" : "" }, { "dropping-particle" : "", "family" : "Burmi", "given" : "Rajpal S.", "non-dropping-particle" : "", "parse-names" : false, "suffix" : "" }, { "dropping-particle" : "", "family" : "Lowe", "given" : "Gordon M.", "non-dropping-particle" : "", "parse-names" : false, "suffix" : "" }, { "dropping-particle" : "", "family" : "Billington", "given" : "David", "non-dropping-particle" : "", "parse-names" : false, "suffix" : "" }, { "dropping-particle" : "", "family" : "Rahman", "given" : "Khalid", "non-dropping-particle" : "", "parse-names" : false, "suffix" : "" } ], "container-title" : "Life Sciences", "id" : "ITEM-1", "issue" : "14", "issued" : { "date-parts" : [ [ "2003" ] ] }, "page" : "1583-1594", "title" : "Antioxidant properties of aged garlic extract: An in vitro study incorporating human low density lipoprotein", "type" : "article-journal", "volume" : "72" }, "uris" : [ "http://www.mendeley.com/documents/?uuid=241db0ad-43ef-4c09-8c16-7f6e27a16186" ] } ], "mendeley" : { "formattedCitation" : "(Dillon et al. 2003)", "plainTextFormattedCitation" : "(Dillon et al. 2003)", "previouslyFormattedCitation" : "(Dillon et al. 2003)" }, "properties" : { "noteIndex" : 0 }, "schema" : "https://github.com/citation-style-language/schema/raw/master/csl-citation.json" }</w:instrText>
      </w:r>
      <w:r w:rsidR="00482127" w:rsidRPr="00DC420D">
        <w:rPr>
          <w:lang w:val="es-ES"/>
        </w:rPr>
        <w:fldChar w:fldCharType="separate"/>
      </w:r>
      <w:r w:rsidRPr="00DC420D">
        <w:rPr>
          <w:noProof/>
          <w:lang w:val="es-ES"/>
        </w:rPr>
        <w:t>(Dillon et al. 2003)</w:t>
      </w:r>
      <w:r w:rsidR="00482127" w:rsidRPr="00DC420D">
        <w:rPr>
          <w:lang w:val="es-ES"/>
        </w:rPr>
        <w:fldChar w:fldCharType="end"/>
      </w:r>
      <w:r w:rsidRPr="00DC420D">
        <w:rPr>
          <w:lang w:val="es-ES"/>
        </w:rPr>
        <w:t xml:space="preserve"> </w:t>
      </w:r>
      <w:r w:rsidR="006E1890">
        <w:rPr>
          <w:lang w:val="es-ES"/>
        </w:rPr>
        <w:t>así como</w:t>
      </w:r>
      <w:r w:rsidRPr="00DC420D">
        <w:rPr>
          <w:lang w:val="es-ES"/>
        </w:rPr>
        <w:t xml:space="preserve"> la mejora de la elasticidad vascular y la función endotelial </w:t>
      </w:r>
      <w:r w:rsidR="00482127" w:rsidRPr="00DC420D">
        <w:rPr>
          <w:lang w:val="es-ES"/>
        </w:rPr>
        <w:fldChar w:fldCharType="begin" w:fldLock="1"/>
      </w:r>
      <w:r w:rsidRPr="00DC420D">
        <w:rPr>
          <w:lang w:val="es-ES"/>
        </w:rPr>
        <w:instrText>ADDIN CSL_CITATION { "citationItems" : [ { "id" : "ITEM-1", "itemData" : { "DOI" : "10.1016/j.nut.2012.03.016", "ISBN" : "1873-1244", "ISSN" : "08999007", "PMID" : "22858191", "abstract" : "Objective: Aged garlic extract (AGE) is associated with a significant decrease in atherosclerotic plaque progression and endothelial function improvement. Similarly, coenzyme Q10 (CoQ10) has significant beneficial effects on endothelial function. A stressful lifestyle is a well-known risk factor for the presence and progression of atherosclerosis. This study investigated the effect of AGE plus CoQ10 on vascular elasticity measured by pulse-wave velocity (PWV) and endothelial function measured by digital thermal monitoring (DTM) in firefighters. Methods: Sixty-five Los-Angeles County firefighters who met the eligibility criteria were enrolled in this placebo-controlled, double-blinded randomized trial. The firefighters were randomized to four tablets of AGE (300 mg/tablet) plus CoQ10 (30 mg/tablet) or placebo. The participants underwent quarterly visits and 1-year follow-up. PWV and DTM were measured at baseline and at the 1-year follow-up. Results: There were no significant differences in age, cardiovascular risk factors, PWV, and DTM between the AGE/CoQ10 and placebo groups at baseline (P &gt; 0.5). At 1-y, PWV and DTM significantly improved in the AGE/CoQ10 compared with the placebo group (P &lt; 0.05). After an adjustment for cardiovascular risk factors and statin therapy, the mean decrease in vascular stiffness (PWV) was 1.21 m/s in the AGE/CoQ10 compared with the placebo group (P = 0.005). Similarly, the mean increase in the area under the temperature curve, the DTM index of endothelial function, was 31.3 in the AGE/CoQ10 compared with the placebo group (P = 0.01). Conclusion: The combination of AGE and CoQ10 was independently associated with significant beneficial effects on vascular elasticity and endothelial function in firefighters with high occupational stress, highlighting the important role of AGE and CoQ10 in atherosclerotic prevention of such individuals. \u00a9 2013 Elsevier Inc.", "author" : [ { "dropping-particle" : "", "family" : "Larijani", "given" : "Vahid Nabavi", "non-dropping-particle" : "", "parse-names" : false, "suffix" : "" }, { "dropping-particle" : "", "family" : "Ahmadi", "given" : "Naser", "non-dropping-particle" : "", "parse-names" : false, "suffix" : "" }, { "dropping-particle" : "", "family" : "Zeb", "given" : "Irfan", "non-dropping-particle" : "", "parse-names" : false, "suffix" : "" }, { "dropping-particle" : "", "family" : "Khan", "given" : "Faraz", "non-dropping-particle" : "", "parse-names" : false, "suffix" : "" }, { "dropping-particle" : "", "family" : "Flores", "given" : "Ferdinand", "non-dropping-particle" : "", "parse-names" : false, "suffix" : "" }, { "dropping-particle" : "", "family" : "Budoff", "given" : "Matthew", "non-dropping-particle" : "", "parse-names" : false, "suffix" : "" } ], "container-title" : "Nutrition", "id" : "ITEM-1", "issue" : "1", "issued" : { "date-parts" : [ [ "2013" ] ] }, "page" : "71-75", "title" : "Beneficial effects of aged garlic extract and coenzyme Q10 on vascular elasticity and endothelial function: The FAITH randomized clinical trial", "type" : "article-journal", "volume" : "29" }, "uris" : [ "http://www.mendeley.com/documents/?uuid=ace97367-01ed-41b2-befc-8618a8eb9313" ] } ], "mendeley" : { "formattedCitation" : "(Larijani et al. 2013)", "plainTextFormattedCitation" : "(Larijani et al. 2013)", "previouslyFormattedCitation" : "(Larijani et al. 2013)" }, "properties" : { "noteIndex" : 0 }, "schema" : "https://github.com/citation-style-language/schema/raw/master/csl-citation.json" }</w:instrText>
      </w:r>
      <w:r w:rsidR="00482127" w:rsidRPr="00DC420D">
        <w:rPr>
          <w:lang w:val="es-ES"/>
        </w:rPr>
        <w:fldChar w:fldCharType="separate"/>
      </w:r>
      <w:r w:rsidRPr="00DC420D">
        <w:rPr>
          <w:noProof/>
          <w:lang w:val="es-ES"/>
        </w:rPr>
        <w:t>(Larijani et al. 2013)</w:t>
      </w:r>
      <w:r w:rsidR="00482127" w:rsidRPr="00DC420D">
        <w:rPr>
          <w:lang w:val="es-ES"/>
        </w:rPr>
        <w:fldChar w:fldCharType="end"/>
      </w:r>
      <w:r w:rsidRPr="00DC420D">
        <w:rPr>
          <w:lang w:val="es-ES"/>
        </w:rPr>
        <w:t xml:space="preserve">. Por otra parte, numerosos estudios apuntan la posibilidad de efectos anticancerígenos derivados de su consumo, sin embargo la evidencia se considera muy limitada </w:t>
      </w:r>
      <w:r w:rsidR="00425B65">
        <w:rPr>
          <w:lang w:val="es-ES"/>
        </w:rPr>
        <w:t>según</w:t>
      </w:r>
      <w:r w:rsidRPr="00DC420D">
        <w:rPr>
          <w:lang w:val="es-ES"/>
        </w:rPr>
        <w:t xml:space="preserve"> un trabajo de revisión bibliográfica </w:t>
      </w:r>
      <w:r w:rsidR="00482127" w:rsidRPr="00DC420D">
        <w:rPr>
          <w:lang w:val="es-ES"/>
        </w:rPr>
        <w:fldChar w:fldCharType="begin" w:fldLock="1"/>
      </w:r>
      <w:r w:rsidRPr="00DC420D">
        <w:rPr>
          <w:lang w:val="es-ES"/>
        </w:rPr>
        <w:instrText>ADDIN CSL_CITATION { "citationItems" : [ { "id" : "ITEM-1", "itemData" : { "DOI" : "10.3945/ajcn.2008.26142.Am", "ISSN" : "1938-3207", "PMID" : "19056580", "abstract" : "BACKGROUND: Numerous animal and in vitro studies provided evidence for a relation between garlic intake and cancer risk reduction. Several studies also reported an inverse association in humans. However, no claims have been made about garlic intake and cancer risk reduction with respect to food labeling. OBJECTIVE: The objective of this study was to evaluate the scientific evidence for garlic intake with respect to the risk of different types of cancer using the US Food and Drug Administration's evidence-based review system for the scientific evaluation of health claims. DESIGN: Literature searches were conducted by using the Medline and EMBASE databases for the period 1955-2007 with search terms Allium sativum, vegetables, diet, and nutrition in combination with cancer, neoplasm, and individual cancers. The search was limited to human studies published in English and Korean. RESULTS: With the use of the US Food and Drug Administration's evidence-based review system for the scientific evaluation of health claims, 19 human studies were identified and reviewed to evaluate the strength of the evidence that supports a relation between garlic intake and reduced risk of different cancers with respect to food labeling. CONCLUSIONS: There was no credible evidence to support a relation between garlic intake and a reduced risk of gastric, breast, lung, or endometrial cancer. Very limited evidence supported a relation between garlic consumption and reduced risk of colon, prostate, esophageal, larynx, oral, ovary, or renal cell cancers.", "author" : [ { "dropping-particle" : "", "family" : "Kim", "given" : "Ji Yeon", "non-dropping-particle" : "", "parse-names" : false, "suffix" : "" }, { "dropping-particle" : "", "family" : "Kwon", "given" : "Oran", "non-dropping-particle" : "", "parse-names" : false, "suffix" : "" } ], "container-title" : "The American journal of clinical nutrition", "id" : "ITEM-1", "issue" : "1", "issued" : { "date-parts" : [ [ "2009" ] ] }, "page" : "257-264", "title" : "Garlic intake and cancer risk: an analysis using the Food and Drug Administration's evidence-based review system for the scientific evaluation of health claims.", "type" : "article-journal", "volume" : "89" }, "uris" : [ "http://www.mendeley.com/documents/?uuid=134e3ec6-88fd-4ec3-af56-81ff2d912655" ] } ], "mendeley" : { "formattedCitation" : "(J. Y. Kim and Kwon 2009)", "manualFormatting" : "(Kim et Kwon, 2009)", "plainTextFormattedCitation" : "(J. Y. Kim and Kwon 2009)", "previouslyFormattedCitation" : "(J. Y. Kim and Kwon 2009)" }, "properties" : { "noteIndex" : 0 }, "schema" : "https://github.com/citation-style-language/schema/raw/master/csl-citation.json" }</w:instrText>
      </w:r>
      <w:r w:rsidR="00482127" w:rsidRPr="00DC420D">
        <w:rPr>
          <w:lang w:val="es-ES"/>
        </w:rPr>
        <w:fldChar w:fldCharType="separate"/>
      </w:r>
      <w:r w:rsidRPr="00DC420D">
        <w:rPr>
          <w:noProof/>
          <w:lang w:val="es-ES"/>
        </w:rPr>
        <w:t xml:space="preserve">(Kim </w:t>
      </w:r>
      <w:r w:rsidR="00F83064">
        <w:rPr>
          <w:noProof/>
          <w:lang w:val="es-ES"/>
        </w:rPr>
        <w:t>y</w:t>
      </w:r>
      <w:r w:rsidRPr="00DC420D">
        <w:rPr>
          <w:noProof/>
          <w:lang w:val="es-ES"/>
        </w:rPr>
        <w:t xml:space="preserve"> Kwon, 2009)</w:t>
      </w:r>
      <w:r w:rsidR="00482127" w:rsidRPr="00DC420D">
        <w:rPr>
          <w:lang w:val="es-ES"/>
        </w:rPr>
        <w:fldChar w:fldCharType="end"/>
      </w:r>
      <w:r w:rsidRPr="00DC420D">
        <w:rPr>
          <w:lang w:val="es-ES"/>
        </w:rPr>
        <w:t>. No obstante</w:t>
      </w:r>
      <w:r w:rsidR="005A7325">
        <w:rPr>
          <w:lang w:val="es-ES"/>
        </w:rPr>
        <w:t>,</w:t>
      </w:r>
      <w:r w:rsidRPr="00DC420D">
        <w:rPr>
          <w:lang w:val="es-ES"/>
        </w:rPr>
        <w:t xml:space="preserve"> una de las principales características</w:t>
      </w:r>
      <w:r w:rsidR="005C367B">
        <w:rPr>
          <w:lang w:val="es-ES"/>
        </w:rPr>
        <w:t xml:space="preserve"> del ajo es su carácter biocida</w:t>
      </w:r>
      <w:r w:rsidRPr="00DC420D">
        <w:rPr>
          <w:lang w:val="es-ES"/>
        </w:rPr>
        <w:t xml:space="preserve"> </w:t>
      </w:r>
      <w:r w:rsidR="00482127" w:rsidRPr="00DC420D">
        <w:rPr>
          <w:lang w:val="es-ES"/>
        </w:rPr>
        <w:fldChar w:fldCharType="begin" w:fldLock="1"/>
      </w:r>
      <w:r w:rsidRPr="00DC420D">
        <w:rPr>
          <w:lang w:val="es-ES"/>
        </w:rPr>
        <w:instrText>ADDIN CSL_CITATION { "citationItems" : [ { "id" : "ITEM-1", "itemData" : { "DOI" : "10.1002/ptr.4725", "ISBN" : "0951-418X", "ISSN" : "0951418X", "PMID" : "22610968", "abstract" : "The in vitro antibacterial activity of essential oils (EOs) obtained from fresh bulbs of garlic, Allium sativum L., and leek, Allium porrum L. ( Alliaceae), was studied. A. sativum (garlic) EO showed a good antimicrobial activity against Staphylococcus aureus (inhibition zone 14.8\u2009mm), Pseudomonas aeruginosa (inhibition zone 21.1\u2009mm), and Escherichia coli (inhibition zone 11.0\u2009mm), whereas the EO of A. porrum (leek) had no antimicrobial activity. The main constituents of the garlic EO were diallyl monosulfide, diallyl disulfide (DADS), diallyl trisulfide, and diallyl tetrasulfide. The EO of A. porrum was characterized by the presence of dipropyl disulfide (DPDS), dipropyl trisulfide, and dipropyl tetrasulfide. The antimicrobial activities of the DADS and DPDS were also studied. The results obtained suggest that the presence of the allyl group is fundamental for the antimicrobial activity of these sulfide derivatives when they are present in Allium or in other species (DADS inhibition zone on S. aureus 15.9\u2009mm, P. aeruginosa 21.9\u2009mm, E. coli 11.4\u2009mm).", "author" : [ { "dropping-particle" : "", "family" : "Casella", "given" : "Sergio", "non-dropping-particle" : "", "parse-names" : false, "suffix" : "" }, { "dropping-particle" : "", "family" : "Leonardi", "given" : "Michele", "non-dropping-particle" : "", "parse-names" : false, "suffix" : "" }, { "dropping-particle" : "", "family" : "Melai", "given" : "Bernardo", "non-dropping-particle" : "", "parse-names" : false, "suffix" : "" }, { "dropping-particle" : "", "family" : "Fratini", "given" : "Filippo", "non-dropping-particle" : "", "parse-names" : false, "suffix" : "" }, { "dropping-particle" : "", "family" : "Pistelli", "given" : "Luisa", "non-dropping-particle" : "", "parse-names" : false, "suffix" : "" } ], "container-title" : "Phytotherapy Research", "id" : "ITEM-1", "issue" : "3", "issued" : { "date-parts" : [ [ "2013" ] ] }, "page" : "380-383", "title" : "The role of diallyl sulfides and dipropyl sulfides in the in vitro antimicrobial activity of the essential oil of garlic, Allium sativum L., and leek, Allium porrum L.", "type" : "article-journal", "volume" : "27" }, "uris" : [ "http://www.mendeley.com/documents/?uuid=41ff59fe-e258-4f4a-8fe1-f5fe3e48dfd7" ] }, { "id" : "ITEM-2", "itemData" : { "DOI" : "10.1134/S1990793110070092", "ISSN" : "1990-7931", "author" : [ { "dropping-particle" : "", "family" : "Zalepugin", "given" : "D. Yu.", "non-dropping-particle" : "", "parse-names" : false, "suffix" : "" }, { "dropping-particle" : "", "family" : "Tilkunova", "given" : "N. a.", "non-dropping-particle" : "", "parse-names" : false, "suffix" : "" }, { "dropping-particle" : "", "family" : "Yashin", "given" : "Yu. S.", "non-dropping-particle" : "", "parse-names" : false, "suffix" : "" }, { "dropping-particle" : "V.", "family" : "Chernyshova", "given" : "I.", "non-dropping-particle" : "", "parse-names" : false, "suffix" : "" }, { "dropping-particle" : "", "family" : "Mishin", "given" : "V. S.", "non-dropping-particle" : "", "parse-names" : false, "suffix" : "" }, { "dropping-particle" : "", "family" : "Mulyukin", "given" : "a. L.", "non-dropping-particle" : "", "parse-names" : false, "suffix" : "" } ], "container-title" : "Russian Journal of Physical Chemistry B", "id" : "ITEM-2", "issue" : "7", "issued" : { "date-parts" : [ [ "2010" ] ] }, "page" : "1103-1111", "title" : "Application of supercritical fluid extraction to the development of new potential biocides on the basis of garlic (Allium sativum L.)", "type" : "article-journal", "volume" : "4" }, "uris" : [ "http://www.mendeley.com/documents/?uuid=aa7114e6-cb31-4543-9485-cdb002023ff3" ] } ], "mendeley" : { "formattedCitation" : "(Casella et al. 2013; Zalepugin et al. 2010)", "plainTextFormattedCitation" : "(Casella et al. 2013; Zalepugin et al. 2010)", "previouslyFormattedCitation" : "(Casella et al. 2013; Zalepugin et al. 2010)" }, "properties" : { "noteIndex" : 0 }, "schema" : "https://github.com/citation-style-language/schema/raw/master/csl-citation.json" }</w:instrText>
      </w:r>
      <w:r w:rsidR="00482127" w:rsidRPr="00DC420D">
        <w:rPr>
          <w:lang w:val="es-ES"/>
        </w:rPr>
        <w:fldChar w:fldCharType="separate"/>
      </w:r>
      <w:r w:rsidRPr="00DC420D">
        <w:rPr>
          <w:noProof/>
          <w:lang w:val="es-ES"/>
        </w:rPr>
        <w:t>(Casella et al. 2013; Zalepugin et al. 2010)</w:t>
      </w:r>
      <w:r w:rsidR="00482127" w:rsidRPr="00DC420D">
        <w:rPr>
          <w:lang w:val="es-ES"/>
        </w:rPr>
        <w:fldChar w:fldCharType="end"/>
      </w:r>
      <w:r w:rsidR="005C367B">
        <w:rPr>
          <w:lang w:val="es-ES"/>
        </w:rPr>
        <w:t>,</w:t>
      </w:r>
      <w:r w:rsidRPr="00DC420D">
        <w:rPr>
          <w:lang w:val="es-ES"/>
        </w:rPr>
        <w:t xml:space="preserve"> que se asocia  principalmente a los compuestos azufrados </w:t>
      </w:r>
      <w:r w:rsidR="00482127" w:rsidRPr="006923CB">
        <w:rPr>
          <w:lang w:val="es-ES"/>
        </w:rPr>
        <w:fldChar w:fldCharType="begin" w:fldLock="1"/>
      </w:r>
      <w:r w:rsidR="00D84752">
        <w:rPr>
          <w:lang w:val="es-ES"/>
        </w:rPr>
        <w:instrText>ADDIN CSL_CITATION { "citationItems" : [ { "id" : "ITEM-1", "itemData" : { "DOI" : "10.1271/bbb.90096", "ISBN" : "8146684394", "ISSN" : "0916-8451", "PMID" : "19734685", "abstract" : "Allicin (allyl 2-propenethiosulfinate), an antibacterial principle of garlic, has drawn much attention, since it has potent antimicrobial activity against a range of microorganisms, including methicillin-resistant Staphylococcus aureus. There have been many reports on the antibacterial properties of allicin, but no quantitative comparison of antibacterial activities between freshly prepared garlic extract and clinically useful antibiotics has been performed. To verify the substantial antibacterial effect of aqueous garlic extract, we compared it with those of allicin and several clinically useful antibiotics using two representative bacteria commonly found in the human environment, Gram-positive S. aureus and Gram-negative Escherichia coli. The garlic extract had more potent anti-staphylococcal activity than an equal amount of allicin. In terms of antibiotic potency against Gram-positive and Gram-negative bacteria, authentic allicin had roughly 1-2% of the potency of streptomycin (vs. S. aureus), 8% of that of vancomycin (vs. S. aureus), and only 0.2% of that of colistin (vs. E. coli). The antibacterial activity of allicin was completely abolished by cysteine, glutathione and coenzyme A, but not by non-SH-compounds. The oxygen in the structure (-S(=O)-S-) of allicin therefore functions to liberate the S-allyl moiety, which might be an offensive tool against bacteria.", "author" : [ { "dropping-particle" : "", "family" : "Fujisawa", "given" : "Hiroyuki", "non-dropping-particle" : "", "parse-names" : false, "suffix" : "" }, { "dropping-particle" : "", "family" : "Watanabe", "given" : "Kazuhiro", "non-dropping-particle" : "", "parse-names" : false, "suffix" : "" }, { "dropping-particle" : "", "family" : "Suma", "given" : "Kaoru", "non-dropping-particle" : "", "parse-names" : false, "suffix" : "" }, { "dropping-particle" : "", "family" : "Origuchi", "given" : "Kana", "non-dropping-particle" : "", "parse-names" : false, "suffix" : "" }, { "dropping-particle" : "", "family" : "Matsufuji", "given" : "Hiroshi", "non-dropping-particle" : "", "parse-names" : false, "suffix" : "" }, { "dropping-particle" : "", "family" : "Seki", "given" : "Taiichiro", "non-dropping-particle" : "", "parse-names" : false, "suffix" : "" }, { "dropping-particle" : "", "family" : "Ariga", "given" : "Toyohiko", "non-dropping-particle" : "", "parse-names" : false, "suffix" : "" } ], "container-title" : "Bioscience, biotechnology, and biochemistry", "id" : "ITEM-1", "issue" : "9", "issued" : { "date-parts" : [ [ "2009" ] ] }, "page" : "1948-1955", "title" : "Antibacterial potential of garlic-derived allicin and its cancellation by sulfhydryl compounds.", "type" : "article-journal", "volume" : "73" }, "uris" : [ "http://www.mendeley.com/documents/?uuid=dd89e38d-73c7-45c7-b580-338b34634e0e" ] }, { "id" : "ITEM-2", "itemData" : { "DOI" : "10.1093/jac/dks138", "ISBN" : "1460-2091 (Electronic)\\r0305-7453 (Linking)", "ISSN" : "03057453", "PMID" : "22550133", "abstract" : "OBJECTIVES: Bacterial biofilms pose significant food safety risks because of their attachment to fomites and food surfaces, including fresh produce surfaces. The purpose of this study was to systematically investigate the activity of selected antimicrobials on Campylobacter jejuni biofilms.\\n\\nMETHODS: C. jejuni biofilms and planktonic cells were treated with ciprofloxacin, erythromycin and diallyl sulphide and examined using infrared and Raman spectroscopies coupled with imaging analysis.\\n\\nRESULTS: Diallyl sulphide eliminated planktonic cells and sessile cells in biofilms at a concentration that was at least 100-fold less than used for either ciprofloxacin or erythromycin on the basis of molarity. Distinct cell lysis was observed in diallyl sulphide-treated planktonic cells using immunoblot analysis and was confirmed by a rapid decrease in cellular ATP. Two phases of C. jejuni biofilm recalcitrance modes against ciprofloxacin and erythromycin were validated using vibrational spectroscopies: (i) an initial hindered adsorption into biofilm extracellular polymeric substance (EPS) and delivery of antibiotics to sessile cells within biofilms; and (ii) a different interaction between sessile cells in a biofilm compared with their planktonic counterparts. Diallyl sulphide destroyed the EPS structure of the C. jejuni biofilm, after which the sessile cells were killed in a similar manner as planktonic cells. Spectroscopic models can predict the survival of sessile cells within biofilms.\\n\\nCONCLUSIONS: Diallyl sulphide elicits strong antimicrobial activity against planktonic and sessile C. jejuni and may have applications for reducing the prevalence of this microbe in foods, biofilm reduction and, potentially, as an alternative chemotherapeutic agent for multidrug-resistant bacterial strains.", "author" : [ { "dropping-particle" : "", "family" : "Lu", "given" : "Xiaonan", "non-dropping-particle" : "", "parse-names" : false, "suffix" : "" }, { "dropping-particle" : "", "family" : "Samuelson", "given" : "Derrick R.", "non-dropping-particle" : "", "parse-names" : false, "suffix" : "" }, { "dropping-particle" : "", "family" : "Rasco", "given" : "Barbara a.", "non-dropping-particle" : "", "parse-names" : false, "suffix" : "" }, { "dropping-particle" : "", "family" : "Konkel", "given" : "Michael E.", "non-dropping-particle" : "", "parse-names" : false, "suffix" : "" } ], "container-title" : "Journal of Antimicrobial Chemotherapy", "id" : "ITEM-2", "issue" : "8", "issued" : { "date-parts" : [ [ "2012" ] ] }, "page" : "1915-1926", "title" : "Antimicrobial effect of diallyl sulphide on Campylobacter jejuni biofilms", "type" : "article-journal", "volume" : "67" }, "uris" : [ "http://www.mendeley.com/documents/?uuid=a00772f6-5264-4683-a9be-b612ef1cad83" ] }, { "id" : "ITEM-3", "itemData" : { "author" : [ { "dropping-particle" : "", "family" : "Bojalil", "given" : "D Bender", "non-dropping-particle" : "", "parse-names" : false, "suffix" : "" }, { "dropping-particle" : "", "family" : "B\u00e1rcenas", "given" : "M E", "non-dropping-particle" : "", "parse-names" : false, "suffix" : "" } ], "id" : "ITEM-3", "issued" : { "date-parts" : [ [ "2013" ] ] }, "page" : "25-36", "title" : "El ajo y sus aplicaciones en la conservaci\u00f3n de alimentos", "type" : "article-journal", "volume" : "1" }, "uris" : [ "http://www.mendeley.com/documents/?uuid=cbcc9766-a04b-45ee-9490-851d4c63ce5a" ] } ], "mendeley" : { "formattedCitation" : "(Bojalil and B\u00e1rcenas 2013; Fujisawa et al. 2009; Lu et al. 2012)", "plainTextFormattedCitation" : "(Bojalil and B\u00e1rcenas 2013; Fujisawa et al. 2009; Lu et al. 2012)", "previouslyFormattedCitation" : "(Bojalil and B\u00e1rcenas 2013; Fujisawa et al. 2009; Lu et al. 2012)" }, "properties" : { "noteIndex" : 0 }, "schema" : "https://github.com/citation-style-language/schema/raw/master/csl-citation.json" }</w:instrText>
      </w:r>
      <w:r w:rsidR="00482127" w:rsidRPr="006923CB">
        <w:rPr>
          <w:lang w:val="es-ES"/>
        </w:rPr>
        <w:fldChar w:fldCharType="separate"/>
      </w:r>
      <w:r w:rsidR="006923CB" w:rsidRPr="00C14BED">
        <w:rPr>
          <w:noProof/>
          <w:lang w:val="es-ES"/>
        </w:rPr>
        <w:t xml:space="preserve">(Bojalil </w:t>
      </w:r>
      <w:r w:rsidR="00F83064">
        <w:rPr>
          <w:noProof/>
          <w:lang w:val="es-ES"/>
        </w:rPr>
        <w:t>y</w:t>
      </w:r>
      <w:r w:rsidR="006923CB" w:rsidRPr="00C14BED">
        <w:rPr>
          <w:noProof/>
          <w:lang w:val="es-ES"/>
        </w:rPr>
        <w:t xml:space="preserve"> Bárcenas 2013; Fujisawa et al. 2009; Lu et al. 2012)</w:t>
      </w:r>
      <w:r w:rsidR="00482127" w:rsidRPr="006923CB">
        <w:rPr>
          <w:lang w:val="es-ES"/>
        </w:rPr>
        <w:fldChar w:fldCharType="end"/>
      </w:r>
      <w:r w:rsidR="006923CB" w:rsidRPr="006923CB">
        <w:rPr>
          <w:lang w:val="es-ES"/>
        </w:rPr>
        <w:t>.</w:t>
      </w:r>
    </w:p>
    <w:p w:rsidR="00334117" w:rsidRPr="00DC420D" w:rsidRDefault="00334117" w:rsidP="00234195">
      <w:pPr>
        <w:spacing w:after="0" w:line="240" w:lineRule="auto"/>
        <w:rPr>
          <w:i/>
          <w:lang w:val="es-ES"/>
        </w:rPr>
      </w:pPr>
      <w:r w:rsidRPr="00DC420D">
        <w:rPr>
          <w:lang w:val="es-ES"/>
        </w:rPr>
        <w:t xml:space="preserve">Las propiedades bactericidas de estos compuestos ya han sido utilizadas en el control de crecimiento de patógenos como hongos </w:t>
      </w:r>
      <w:r w:rsidR="00482127" w:rsidRPr="00DC420D">
        <w:rPr>
          <w:lang w:val="es-ES"/>
        </w:rPr>
        <w:fldChar w:fldCharType="begin" w:fldLock="1"/>
      </w:r>
      <w:r w:rsidRPr="00DC420D">
        <w:rPr>
          <w:lang w:val="es-ES"/>
        </w:rPr>
        <w:instrText>ADDIN CSL_CITATION { "citationItems" : [ { "id" : "ITEM-1", "itemData" : { "DOI" : "10.1016/S1130-1406(06)70039-0", "ISSN" : "11301406", "abstract" : "The fungistatic activity of six aqueous extracts of plants were tested against Aspergillus candidus, Aspergillus niger, Penicillium sp. and Fusarium culmorum. The plants were, chamomile (Anthemis nobilis L.), cinnamon (Cinnamomum verum J. Presl.), French lavender (Lavandula stoechas L.), garlic (Allium sativum L.), malva (Malva sylvestris L.) and peppermint (Mentha piperita L.). The more concentrated extracts of chamomile and malva inhibited totally the growth of the tested fungi with malva being the most effective one.", "author" : [ { "dropping-particle" : "", "family" : "Magro", "given" : "Ana", "non-dropping-particle" : "", "parse-names" : false, "suffix" : "" }, { "dropping-particle" : "", "family" : "Carolino", "given" : "Manuela", "non-dropping-particle" : "", "parse-names" : false, "suffix" : "" }, { "dropping-particle" : "", "family" : "Bastos", "given" : "Margarida", "non-dropping-particle" : "", "parse-names" : false, "suffix" : "" }, { "dropping-particle" : "", "family" : "Mexia", "given" : "Ant\u00f3nio", "non-dropping-particle" : "", "parse-names" : false, "suffix" : "" } ], "container-title" : "Revista Iberoamericana de Micolog\u00eda", "id" : "ITEM-1", "issue" : "3", "issued" : { "date-parts" : [ [ "2006" ] ] }, "page" : "176-178", "publisher" : "Elsevier", "title" : "Efficacy of plant extracts against stored products fungi", "type" : "article-journal", "volume" : "23" }, "uris" : [ "http://www.mendeley.com/documents/?uuid=f6ee546f-8abd-46df-9f50-4fa3e62a9d95" ] } ], "mendeley" : { "formattedCitation" : "(Magro et al. 2006)", "plainTextFormattedCitation" : "(Magro et al. 2006)", "previouslyFormattedCitation" : "(Magro et al. 2006)" }, "properties" : { "noteIndex" : 0 }, "schema" : "https://github.com/citation-style-language/schema/raw/master/csl-citation.json" }</w:instrText>
      </w:r>
      <w:r w:rsidR="00482127" w:rsidRPr="00DC420D">
        <w:rPr>
          <w:lang w:val="es-ES"/>
        </w:rPr>
        <w:fldChar w:fldCharType="separate"/>
      </w:r>
      <w:r w:rsidRPr="00DC420D">
        <w:rPr>
          <w:noProof/>
          <w:lang w:val="es-ES"/>
        </w:rPr>
        <w:t>(Magro et al. 2006)</w:t>
      </w:r>
      <w:r w:rsidR="00482127" w:rsidRPr="00DC420D">
        <w:rPr>
          <w:lang w:val="es-ES"/>
        </w:rPr>
        <w:fldChar w:fldCharType="end"/>
      </w:r>
      <w:r w:rsidRPr="00DC420D">
        <w:rPr>
          <w:lang w:val="es-ES"/>
        </w:rPr>
        <w:t xml:space="preserve">. Así mismo los efectos antibacterianos se han evaluado contra </w:t>
      </w:r>
      <w:r w:rsidRPr="00DC420D">
        <w:rPr>
          <w:i/>
          <w:lang w:val="es-ES"/>
        </w:rPr>
        <w:t xml:space="preserve">C. jejuni </w:t>
      </w:r>
      <w:r w:rsidR="00482127" w:rsidRPr="00DC420D">
        <w:rPr>
          <w:lang w:val="es-ES"/>
        </w:rPr>
        <w:fldChar w:fldCharType="begin" w:fldLock="1"/>
      </w:r>
      <w:r w:rsidRPr="00DC420D">
        <w:rPr>
          <w:lang w:val="es-ES"/>
        </w:rPr>
        <w:instrText xml:space="preserve">ADDIN CSL_CITATION { "citationItems" : [ { "id" : "ITEM-1", "itemData" : { "DOI" : "10.1128/AEM.02845-10", "ISSN" : "00992240", "PMID" : "21642409", "abstract" : "Fourier transform infrared (FT-IR) spectroscopy and Raman spectroscopy were used to study the cell injury and inactivation of Campylobacter jejuni from exposure to antioxidants from garlic. C. jejuni was treated with various concentrations of garlic concentrate and garlic-derived organosulfur compounds in growth media and saline at 4, 22, and 35\u00b0C. The antimicrobial activities of the diallyl sulfides increased with the number of sulfur atoms (diallyl sulfide &lt; diallyl disulfide &lt; diallyl trisulfide). FT-IR spectroscopy confirmed that organosulfur compounds are responsible for the substantial antimicrobial activity of garlic, much greater than those of garlic phenolic compounds, as indicated by changes in the spectral features of proteins, lipids, and polysaccharides in the bacterial cell membranes. Confocal Raman microscopy (532-nm-gold-particle substrate) and Raman mapping of a single bacterium confirmed the intracellular uptake of sulfur and phenolic components. Scanning electron microscopy (SEM) and transmission electron microscopy (TEM) were employed to verify cell damage. Principal-component analysis (PCA), discriminant function analysis (DFA), and soft independent modeling of class analogs (SIMCA) were performed, and results were cross validated to differentiate bacteria based upon the degree of cell injury. Partial least-squares regression (PLSR) was employed to quantify and predict actual numbers of healthy and injured bacterial cells remaining following treatment. PLSR-based loading plots were investigated to further verify the changes in the cell membrane of C. jejuni treated with organosulfur compounds. We demonstrated that bacterial injury and inactivation could be accurately investigated by complementary infrared and Raman spectroscopies using a chemical-based, \"whole-organism fingerprint\" with the aid of chemometrics and electron microscopy.", "author" : [ { "dropping-particle" : "", "family" : "Lu", "given" : "Xiaonan", "non-dropping-particle" : "", "parse-names" : false, "suffix" : "" }, { "dropping-particle" : "", "family" : "Rasco", "given" : "Barbara a.", "non-dropping-particle" </w:instrText>
      </w:r>
      <w:r w:rsidRPr="00DC420D">
        <w:rPr>
          <w:lang w:val="fr-FR"/>
        </w:rPr>
        <w:instrText>: "", "parse-names" : false, "suffix" : "" }, { "dropping-particle" : "", "family" : "Jabal", "given" : "Jamie M F", "non-dropping-particle" : "", "parse-names" : false, "suffix" : "" }, { "dropping-particle" : "", "family" : "Eric Aston", "given" : "D.", "non-dropping-particle" : "", "parse-names" : false, "suffix" : "" }, { "dropping-particle" : "", "family" : "Lin", "given" : "Mengshi", "non-dropping-particle" : "", "parse-names" : false, "suffix" : "" }, { "dropping-particle" : "", "family" : "Konkel", "given" : "Michael E.", "non-dropping-particle" : "", "parse-names" : false, "suffix" : "" } ], "container-title" : "Applied and Environmental Microbiology", "id" : "ITEM-1", "issue" : "15", "issued" : { "date-parts" : [ [ "2011" ] ] }, "page" : "5257-5269", "title" : "Investigating antibacterial effects of garlic (Allium sativum) concentrate and garlic-derived organosulfur compounds on Campylobacter jejuni by using fourier transform infrared spectroscopy, Raman spectroscopy, and electron microscopy", "type" : "article-journal", "volume" : "77" }, "uris" : [ "http://www.mendeley.com/documents/?uuid=e2924bf8-ea31-4e2d-912d-c1f49820f46d" ] } ], "mendeley" : { "formattedCitation" : "(Lu, Rasco, Jabal, et al. 2011)", "plainTextFormattedCitation" : "(Lu, Rasco, Jabal, et al. 2011)", "previouslyFormattedCitation" : "(Lu, Rasco, Jabal, et al. 2011)" }, "properties" : { "noteIndex" : 0 }, "schema" : "https://github.com/citation-style-language/schema/raw/master/csl-citation.json" }</w:instrText>
      </w:r>
      <w:r w:rsidR="00482127" w:rsidRPr="00DC420D">
        <w:rPr>
          <w:lang w:val="es-ES"/>
        </w:rPr>
        <w:fldChar w:fldCharType="separate"/>
      </w:r>
      <w:r w:rsidRPr="00DC420D">
        <w:rPr>
          <w:noProof/>
          <w:lang w:val="fr-FR"/>
        </w:rPr>
        <w:t>(Lu et al. 2011)</w:t>
      </w:r>
      <w:r w:rsidR="00482127" w:rsidRPr="00DC420D">
        <w:rPr>
          <w:lang w:val="es-ES"/>
        </w:rPr>
        <w:fldChar w:fldCharType="end"/>
      </w:r>
      <w:r w:rsidRPr="00DC420D">
        <w:rPr>
          <w:lang w:val="fr-FR"/>
        </w:rPr>
        <w:t xml:space="preserve">, </w:t>
      </w:r>
      <w:r w:rsidRPr="00DC420D">
        <w:rPr>
          <w:i/>
          <w:lang w:val="fr-FR"/>
        </w:rPr>
        <w:t>S. aureus, P. aureoginosa y E. coli</w:t>
      </w:r>
      <w:r w:rsidRPr="00DC420D">
        <w:rPr>
          <w:lang w:val="fr-FR"/>
        </w:rPr>
        <w:t xml:space="preserve"> </w:t>
      </w:r>
      <w:r w:rsidR="00482127" w:rsidRPr="00DC420D">
        <w:rPr>
          <w:lang w:val="es-ES"/>
        </w:rPr>
        <w:fldChar w:fldCharType="begin" w:fldLock="1"/>
      </w:r>
      <w:r w:rsidRPr="00DC420D">
        <w:rPr>
          <w:lang w:val="fr-FR"/>
        </w:rPr>
        <w:instrText>ADDIN CSL_CITATION { "citationItems" : [ { "id" : "ITEM-1", "itemData" : { "DOI" : "10.1002/ptr.4725", "ISBN" : "0951-418X", "ISSN" : "0951418X", "PMID" : "22610968", "abstract" : "The in vitro antibacterial activity of essential oils (EOs) obtained from fresh bulbs of garlic, Allium sativum L., and leek, Allium porrum L. ( Alliaceae), was studied. A. sativum (garlic) EO showed a good antimicrobial activity against Staphylococcus aureus (inhibition zone 14.8\u2009mm), Pseudomonas aeruginosa (inhibition zone 21.1\u2009mm), and Escherichia coli (inhibition zone 11.0\u2009mm), whereas the EO of A. porrum (leek) had no antimicrobial activity. The main constituents of the garlic EO were diallyl monosulfide, diallyl disulfide (DADS), diallyl trisulfide, and diallyl tetrasulfide. The EO of A. porrum was characterized by the presence of dipropyl disulfide (DPDS), dipropyl trisulfide, and dipropyl tetrasulfide. The antimicrobial activities of the DADS and DPDS were also studied. The results obtained suggest that the presence of the allyl group is fundamental for the antimicrobial activity of these sulfide derivatives when they are present in Allium or in other species (DADS inhibition zone on S. aureus 15.9\u2009mm, P. aeruginosa 21.9\u2009mm, E. coli 11.4\u2009</w:instrText>
      </w:r>
      <w:r w:rsidRPr="003168BC">
        <w:rPr>
          <w:lang w:val="es-ES"/>
        </w:rPr>
        <w:instrText>mm).", "author" : [ { "dropping-particle" : "", "family" : "Casella", "given" : "Sergio", "non-dropping-particle" : "", "parse-names" : false, "suffix" : "" }, { "dropping</w:instrText>
      </w:r>
      <w:r w:rsidRPr="00C206C9">
        <w:rPr>
          <w:lang w:val="es-ES"/>
        </w:rPr>
        <w:instrText xml:space="preserve">-particle" : "", </w:instrText>
      </w:r>
      <w:r w:rsidRPr="00DC420D">
        <w:rPr>
          <w:lang w:val="es-ES"/>
        </w:rPr>
        <w:instrText>"family" : "Leonardi", "given" : "Michele", "non-dropping-particle" : "", "parse-names" : false, "suffix" : "" }, { "dropping-particle" : "", "family" : "Melai", "given" : "Bernardo", "non-dropping-particle" : "", "parse-names" : false, "suffix" : "" }, { "dropping-particle" : "", "family" : "Fratini", "given" : "Filippo", "non-dropping-particle" : "", "parse-names" : false, "suffix" : "" }, { "dropping-particle" : "", "family" : "Pistelli", "given" : "Luisa", "non-dropping-particle" : "", "parse-names" : false, "suffix" : "" } ], "container-title" : "Phytotherapy Research", "id" : "ITEM-1", "issue" : "3", "issued" : { "date-parts" : [ [ "2013" ] ] }, "page" : "380-383", "title" : "The role of diallyl sulfides and dipropyl sulfides in the in vitro antimicrobial activity of the essential oil of garlic, Allium sativum L., and leek, Allium porrum L.", "type" : "article-journal", "volume" : "27" }, "uris" : [ "http://www.mendeley.com/documents/?uuid=41ff59fe-e258-4f4a-8fe1-f5fe3e48dfd7" ] } ], "mendeley" : { "formattedCitation" : "(Casella et al. 2013)", "plainTextFormattedCitation" : "(Casella et al. 2013)", "previouslyFormattedCitation" : "(Casella et al. 2013)" }, "properties" : { "noteIndex" : 0 }, "schema" : "https://github.com/citation-style-language/schema/raw/master/csl-citation.json" }</w:instrText>
      </w:r>
      <w:r w:rsidR="00482127" w:rsidRPr="00DC420D">
        <w:rPr>
          <w:lang w:val="es-ES"/>
        </w:rPr>
        <w:fldChar w:fldCharType="separate"/>
      </w:r>
      <w:r w:rsidRPr="00DC420D">
        <w:rPr>
          <w:noProof/>
          <w:lang w:val="es-ES"/>
        </w:rPr>
        <w:t>(Casella et al. 2013)</w:t>
      </w:r>
      <w:r w:rsidR="00482127" w:rsidRPr="00DC420D">
        <w:rPr>
          <w:lang w:val="es-ES"/>
        </w:rPr>
        <w:fldChar w:fldCharType="end"/>
      </w:r>
      <w:r w:rsidR="005C367B">
        <w:rPr>
          <w:lang w:val="es-ES"/>
        </w:rPr>
        <w:t>,</w:t>
      </w:r>
      <w:r w:rsidR="00B204D9">
        <w:rPr>
          <w:lang w:val="es-ES"/>
        </w:rPr>
        <w:t xml:space="preserve"> efecto generalmente asociado</w:t>
      </w:r>
      <w:r w:rsidRPr="00DC420D">
        <w:rPr>
          <w:lang w:val="es-ES"/>
        </w:rPr>
        <w:t xml:space="preserve"> </w:t>
      </w:r>
      <w:r w:rsidR="00B204D9">
        <w:rPr>
          <w:lang w:val="es-ES"/>
        </w:rPr>
        <w:t>a</w:t>
      </w:r>
      <w:r w:rsidR="00FA0D6D">
        <w:rPr>
          <w:lang w:val="es-ES"/>
        </w:rPr>
        <w:t xml:space="preserve"> la</w:t>
      </w:r>
      <w:r w:rsidRPr="00DC420D">
        <w:rPr>
          <w:lang w:val="es-ES"/>
        </w:rPr>
        <w:t xml:space="preserve"> inhibición de enzimas </w:t>
      </w:r>
      <w:r w:rsidR="00FA0D6D">
        <w:rPr>
          <w:lang w:val="es-ES"/>
        </w:rPr>
        <w:t>por</w:t>
      </w:r>
      <w:r w:rsidRPr="00DC420D">
        <w:rPr>
          <w:lang w:val="es-ES"/>
        </w:rPr>
        <w:t xml:space="preserve"> grupos tiol </w:t>
      </w:r>
      <w:r w:rsidR="00482127" w:rsidRPr="00DC420D">
        <w:rPr>
          <w:lang w:val="es-ES"/>
        </w:rPr>
        <w:fldChar w:fldCharType="begin" w:fldLock="1"/>
      </w:r>
      <w:r w:rsidRPr="00DC420D">
        <w:rPr>
          <w:lang w:val="es-ES"/>
        </w:rPr>
        <w:instrText>ADDIN CSL_CITATION { "citationItems" : [ { "id" : "ITEM-1", "itemData" : { "DOI" : "10.1016/S1286-4579(99)80003-3", "ISBN" : "1286-4579 (Print) 1286-4579 (Linking)", "ISSN" : "12864579", "PMID" : "10594976", "abstract" : "Allicin, one of the active principles of freshly crushed garlic homogenates, has a variety of antimicrobial activities. Allicin in its pure form was found to exhibit i) antibacterial activity against a wide range of Gram-negative and Gram-positive bacteria, including multidrug-resistant enterotoxicogenic strains of Escherichia coli; ii) antifungal activity, particularly against Candida albicans; iii) antiparasitic activity, including some major human intestinal protozoan parasites such as Entamoeba histolytica and Giardia lamblia; and iv) antiviral activity. The main antimicrobial effect of allicin is due to its chemical reaction with thiol groups of various enzymes, e.g. alcohol dehydrogenase, thioredoxin reductase, and RNA polymerase, which can affect essential metabolism of cysteine proteinase activity involved in the virulence of E. histolytica.", "author" : [ { "dropping-particle" : "", "family" : "Ankri", "given" : "Serge", "non-dropping-particle" : "", "parse-names" : false, "suffix" : "" }, { "dropping-particle" : "", "family" : "Mirelman", "given" : "David", "non-dropping-particle" : "", "parse-names" : false, "suffix" : "" } ], "container-title" : "Microbes and Infection", "id" : "ITEM-1", "issue" : "2", "issued" : { "date-parts" : [ [ "1999" ] ] }, "page" : "125-129", "title" : "Antimicrobial properties of allicin from garlic", "type" : "article-journal", "volume" : "1" }, "uris" : [ "http://www.mendeley.com/documents/?uuid=83796b3b-6072-4f31-a904-6ccdd1474fcc" ] } ], "mendeley" : { "formattedCitation" : "(Ankri and Mirelman 1999)", "plainTextFormattedCitation" : "(Ankri and Mirelman 1999)", "previouslyFormattedCitation" : "(Ankri and Mirelman 1999)" }, "properties" : { "noteIndex" : 0 }, "schema" : "https://github.com/citation-style-language/schema/raw/master/csl-citation.json" }</w:instrText>
      </w:r>
      <w:r w:rsidR="00482127" w:rsidRPr="00DC420D">
        <w:rPr>
          <w:lang w:val="es-ES"/>
        </w:rPr>
        <w:fldChar w:fldCharType="separate"/>
      </w:r>
      <w:r w:rsidRPr="00DC420D">
        <w:rPr>
          <w:noProof/>
          <w:lang w:val="es-ES"/>
        </w:rPr>
        <w:t xml:space="preserve">(Ankri </w:t>
      </w:r>
      <w:r w:rsidR="00F83064">
        <w:rPr>
          <w:noProof/>
          <w:lang w:val="es-ES"/>
        </w:rPr>
        <w:t>y</w:t>
      </w:r>
      <w:r w:rsidRPr="00DC420D">
        <w:rPr>
          <w:noProof/>
          <w:lang w:val="es-ES"/>
        </w:rPr>
        <w:t xml:space="preserve"> Mirelman 1999)</w:t>
      </w:r>
      <w:r w:rsidR="00482127" w:rsidRPr="00DC420D">
        <w:rPr>
          <w:lang w:val="es-ES"/>
        </w:rPr>
        <w:fldChar w:fldCharType="end"/>
      </w:r>
      <w:r w:rsidRPr="00DC420D">
        <w:rPr>
          <w:lang w:val="es-ES"/>
        </w:rPr>
        <w:t>.</w:t>
      </w:r>
    </w:p>
    <w:p w:rsidR="00334117" w:rsidRPr="00DC420D" w:rsidRDefault="00334117" w:rsidP="00234195">
      <w:pPr>
        <w:spacing w:after="0" w:line="240" w:lineRule="auto"/>
        <w:rPr>
          <w:lang w:val="es-ES"/>
        </w:rPr>
      </w:pPr>
      <w:r w:rsidRPr="00DC420D">
        <w:rPr>
          <w:lang w:val="es-ES"/>
        </w:rPr>
        <w:t xml:space="preserve">Dentro de los principales patógenos alimentarios, </w:t>
      </w:r>
      <w:r w:rsidRPr="00DC420D">
        <w:rPr>
          <w:i/>
          <w:lang w:val="es-ES"/>
        </w:rPr>
        <w:t>E. coli</w:t>
      </w:r>
      <w:r w:rsidRPr="00DC420D">
        <w:rPr>
          <w:lang w:val="es-ES"/>
        </w:rPr>
        <w:t xml:space="preserve"> puede causar enfermedades como infección del tracto urinario </w:t>
      </w:r>
      <w:r w:rsidR="00482127" w:rsidRPr="00DC420D">
        <w:rPr>
          <w:lang w:val="es-ES"/>
        </w:rPr>
        <w:fldChar w:fldCharType="begin" w:fldLock="1"/>
      </w:r>
      <w:r w:rsidRPr="00DC420D">
        <w:rPr>
          <w:lang w:val="es-ES"/>
        </w:rPr>
        <w:instrText>ADDIN CSL_CITATION { "citationItems" : [ { "id" : "ITEM-1", "itemData" : { "DOI" : "10.1371/journal.pone.0046226", "ISSN" : "19326203", "PMID" : "23049986", "abstract" : "BACKGROUND: Furred pets in the household are known reservoirs for pathogenic bacteria, but it is not known if transmission of bacteria between pet and owner leads to significantly increased rate of infections. We studied whether cats and dogs living in the household of pregnant women affect the commensal vaginal flora, and furthermore the need for oral antibiotics and rate of urinary tract infections during pregnancy.\\n\\nMETHODS: The novel unselected Copenhagen Prospective Study on Asthma in Childhood (COPSAC(2010)) pregnancy cohort of 709 women participated in this analysis. Detailed information on pet exposure, oral antibiotic prescriptions filled at pharmacy and urinary tract infection during pregnancy was obtained and verified prospectively during clinic visits. Vaginal cultures were obtained at pregnancy week 36.\\n\\nRESULTS: Women, who had cat or dog in the home during pregnancy, had a different vaginal flora, in particular with increased Escherichia coli (E. coli) colonization; odds ratio after adjustment for lifestyle confounders and antibiotics 2.20, 95% CI, [1.27-3.80], p=0.005. 43% of women living with cat and/or dog in the home used oral antibiotics compared to 33% of women with no cat or dog; adjusted odds ratio 1.51, 95% CI, [1.08-2.12], p=0.016. Women living with cat had increased frequency of self-reported urinary tract infection; adjusted odds ratio 1.57, 95% CI, [1.02-2.43], p=0.042.\\n\\nCONCLUSIONS: The increased vaginal E. coli colonization in women living with cat or dog suggests a clinically important transmission of pathogenic bacteria from pet to owner substantiated by increased rate of antibiotic use and urinary tract infections which, which is of particular concern during pregnancy.", "author" : [ { "dropping-particle" : "", "family" : "Stokholm", "given" : "Jakob", "non-dropping-particle" : "", "parse-names" : false, "suffix" : "" }, { "dropping-particle" : "", "family" : "Schj\u00f8rring", "given" : "Susanne", "non-dropping-particle" : "", "parse-names" : false, "suffix" : "" }, { "dropping-particle" : "", "family" : "Pedersen", "given" : "Louise", "non-dropping-particle" : "", "parse-names" : false, "suffix" : "" }, { "dropping-particle" : "", "family" : "Bischoff", "given" : "Anne Louise", "non-dropping-particle" : "", "parse-names" : false, "suffix" : "" }, { "dropping-particle" : "", "family" : "F\u00f8lsgaard", "given" : "Nilofar", "non-dropping-particle" : "", "parse-names" : false, "suffix" : "" }, { "dropping-particle" : "", "famil</w:instrText>
      </w:r>
      <w:r w:rsidRPr="00D1527E">
        <w:rPr>
          <w:lang w:val="es-ES"/>
        </w:rPr>
        <w:instrText>y" : "Carson", "given" : "Charlotte G.", "non-dropping-particle" : "", "parse-names" : false, "suffix" : "" }, { "dropping-particle" : "", "family" : "Chawes", "given" : "Bo", "non-dropping-part</w:instrText>
      </w:r>
      <w:r w:rsidRPr="00DC420D">
        <w:rPr>
          <w:lang w:val="en-US"/>
        </w:rPr>
        <w:instrText>icle" : "", "parse-names" : false, "suffix" : "" }, { "dropping-particle" : "", "family" : "B\u00f8nnelykke", "given" : "Klaus", "non-dropping-particle" : "", "parse-names" : false, "suffix" : "" }, { "dropping-particle" : "", "family" : "M\u00f8lgaard", "given" : "Anne", "non-dropping-particle" : "", "parse-names" : false, "suffix" : "" }, { "dropping-particle" : "", "family" : "Krogfelt", "given" : "Karen a.", "non-dropping-particle" : "", "parse-names" : false, "suffix" : "" }, { "dropping-particle" : "", "family" : "Bisgaard", "given" : "Hans", "non-dropping-particle" : "", "parse-names" : false, "suffix" : "" } ], "container-title" : "PLoS ONE", "id" : "ITEM-1", "issue" : "9", "issued" : { "date-parts" : [ [ "2012" ] ] }, "page" : "7-12", "title" : "Living with Cat and Dog Increases Vaginal Colonization with E. coli in Pregnant Women", "type" : "article-journal", "volume" : "7" }, "uris" : [ "http://www.mendeley.com/documents/?uuid=f475072a-346a-450a-b917-0674d6712975" ] } ], "mendeley" : { "formattedCitation" : "(Stokholm et al. 2012)", "plainTextFormattedCitation" : "(Stokholm et al. 2012)", "previouslyFormattedCitation" : "(Stokholm et al. 2012)" }, "properties" : { "noteIndex" : 0 }, "schema" : "https://github.com/citation-style-language/schema/raw/master/csl-citation.json" }</w:instrText>
      </w:r>
      <w:r w:rsidR="00482127" w:rsidRPr="00DC420D">
        <w:rPr>
          <w:lang w:val="es-ES"/>
        </w:rPr>
        <w:fldChar w:fldCharType="separate"/>
      </w:r>
      <w:r w:rsidRPr="00DC420D">
        <w:rPr>
          <w:noProof/>
          <w:lang w:val="en-US"/>
        </w:rPr>
        <w:t>(Stokholm et al. 2012)</w:t>
      </w:r>
      <w:r w:rsidR="00482127" w:rsidRPr="00DC420D">
        <w:rPr>
          <w:lang w:val="es-ES"/>
        </w:rPr>
        <w:fldChar w:fldCharType="end"/>
      </w:r>
      <w:r w:rsidRPr="00DC420D">
        <w:rPr>
          <w:lang w:val="en-US"/>
        </w:rPr>
        <w:t xml:space="preserve">, meningitis neonatal </w:t>
      </w:r>
      <w:r w:rsidR="00482127" w:rsidRPr="00DC420D">
        <w:rPr>
          <w:lang w:val="es-ES"/>
        </w:rPr>
        <w:fldChar w:fldCharType="begin" w:fldLock="1"/>
      </w:r>
      <w:r w:rsidRPr="00DC420D">
        <w:rPr>
          <w:lang w:val="en-US"/>
        </w:rPr>
        <w:instrText>ADDIN CSL_CITATION { "citationItems" : [ { "id" : "ITEM-1", "itemData" : { "DOI" : "10.1016/j.jhin.2015.05.002", "ISSN" : "01956701", "author" : [ { "dropping-particle" : "", "family" : "Nakamura", "given" : "K.", "non-dropping-particle" : "", "parse-names" : false, "suffix" : "" }, { "dropping-particle" : "", "family" : "Kaneko", "given" : "M.", "non-dropping-particle" : "", "parse-names" : false, "suffix" : "" }, { "dropping-particle" : "", "family" : "Abe", "given" : "Y.", "non-dropping-particle" : "", "parse-names" : false, "suffix" : "" }, { "dropping-particle" : "", "family" : "Yamamoto", "given" : "N.", "non-dropping-particle" : "", "parse-names" : false, "suffix" : "" }, { "dropping-particle" : "", "family" : "Mori", "given" : "H.", "non-dropping-particle" : "", "parse-names" : false, "suffix" : "" }, { "dropping-particle" : "", "family" : "Yoshida", "given" : "a.", "non-dropping-particle" : "", "parse-names" : false, "suffix" : "" }, { "dropping-particle" : "", "family" : "Ohashi", "given" : "K.", "non-dropping-particle" : "", "parse-names" : false, "suffix" : "" }, { "dropping-particle" : "", "family" : "Miura", "given" : "S.", "non-dropping-particle" : "", "parse-names" : false, "suffix" : "" }, { "dropping-particle" : "", "family" : "Yang", "given" : "T.T.", "non-dropping-particle" : "", "parse-names" : false, "suffix" : "" }, { "dropping-particle" : "", "family" : "Momoi", "given" : "N.", "non-dropping-particle" : "", "parse-names" : false, "suffix" : "" }, { "dropping-particle" : "", "family" : "Kanemitsu", "given" : "K.", "non-dropping-particle" : "", "parse-names" : false, "suffix" : "" } ], "container-title" : "Journal of Hospital Infection", "id" : "ITEM-1", "issued" : { "date-parts" : [ [ "2015" ] ] }, "page" : "1-5", "publisher" : "Elsevier Ltd", "title" : "Outbreak of extended-spectrum \u03b2-lactamase-producing Escherichia coli transmitted through breast milk sharing in a neonatal intensive care unit", "type" : "article-journal" }, "uris" : [ "http://www.mendeley.com/documents/?uuid=bf92befe-bc8e-4be1-b985-3dbb0a7af841" ] } ], "mendeley" : { "formattedCitation" : "(Nakamura et al. 2015)", "plainTextFormattedCitation" : "(Nakamura et al. 2015)", "previouslyFormattedCitation" : "(Nakamura et al. 2015)" }, "properties" : { "noteIndex" : 0 }, "schema" : "https://github.com/citation-style-language/schema/raw/master/csl-citation.json" }</w:instrText>
      </w:r>
      <w:r w:rsidR="00482127" w:rsidRPr="00DC420D">
        <w:rPr>
          <w:lang w:val="es-ES"/>
        </w:rPr>
        <w:fldChar w:fldCharType="separate"/>
      </w:r>
      <w:r w:rsidRPr="00DC420D">
        <w:rPr>
          <w:noProof/>
          <w:lang w:val="en-US"/>
        </w:rPr>
        <w:t>(Nakamura et al. 2015)</w:t>
      </w:r>
      <w:r w:rsidR="00482127" w:rsidRPr="00DC420D">
        <w:rPr>
          <w:lang w:val="es-ES"/>
        </w:rPr>
        <w:fldChar w:fldCharType="end"/>
      </w:r>
      <w:r w:rsidRPr="00DC420D">
        <w:rPr>
          <w:lang w:val="en-US"/>
        </w:rPr>
        <w:t xml:space="preserve"> o gastroentiritis </w:t>
      </w:r>
      <w:r w:rsidR="00482127" w:rsidRPr="00DC420D">
        <w:rPr>
          <w:lang w:val="es-ES"/>
        </w:rPr>
        <w:fldChar w:fldCharType="begin" w:fldLock="1"/>
      </w:r>
      <w:r w:rsidRPr="00DC420D">
        <w:rPr>
          <w:lang w:val="en-US"/>
        </w:rPr>
        <w:instrText>ADDIN CSL_CITATION { "citationItems" : [ { "id" : "ITEM-1", "itemData" : { "DOI" : "10.1007/s150100070017", "ISSN" : "03008126", "PMID" : "11073131", "abstract" : "BACKGROUND: Over a period of 4 days between May 18-21, 1998, a multifocal outbreak of diarrhea, involving 175 Israel Defence Force soldiers and at least 54 civilians, occurred in the Golan Heights. PATIENTS AND METHODS: Stool samples from 40 affected soldiers were collected for microbiological testing. In addition, a rapid PCR technique was employed for the direct detection of the heat-labile (LT) and heat-stable toxin (ST) genes of enterotoxigenic Escherichia coli (ETEC) in stool samples. RESULTS: All 40 stool specimens taken from patients with diarrhea was negative by culture. However, ETEC was detected in 16 stool specimens using the rapid PCR method. The epidemiological investigation found no association between the food items consumed prior to the onset of the outbreak and the attack rate of diarrhea. A review of the water distribution system revealed that all affected military posts and civilian communities were supplied by a common water pipeline. Water sampled from various points along the distribution system showed inadequate chlorination and high concentrations of E. coli. CONCLUSION: This report suggests that the involvement of ETEC in the etiology of waterborne diarrheal outbreaks may be underestimated, probably due to the difficulties involved in the laboratory</w:instrText>
      </w:r>
      <w:r w:rsidRPr="00DC420D">
        <w:rPr>
          <w:lang w:val="es-ES"/>
        </w:rPr>
        <w:instrText xml:space="preserve"> identification of this enteropathogen. Adoption of our rapid method for the identification of ETEC, which is applicable to routine diagnostic laboratories, facilitates pathogen detection within hours, and allows early intervention in cases of widespread diarrheal epidemics.", "author" : [ { "dropping-particle" : "", "family" : "Huerta", "given" : "M.", "non-dropping-particle" : "", "parse-names" : false, "suffix" : "" }, { "dropping-particle" : "", "family" : "Grotto", "given" : "I.", "non-dropping-particle" : "", "parse-names" : false, "suffix" : "" }, { "dropping-particle" : "", "family" : "Gdalevich", "given" : "M.", "non-dropping-particle" : "", "parse-names" : false, "suffix" : "" }, { "dropping-particle" : "", "family" : "Mimouni", "given" : "D.", "non-dropping-particle" : "", "parse-names" : false, "suffix" : "" }, { "dropping-particle" : "", "family" : "Gavrieli", "given" : "B.", "non-dropping-particle" : "", "parse-names" : false, "suffix" : "" }, { "dropping-particle" : "", "family" : "Yavzori", "given" : "M.", "non-dropping-particle" : "", "parse-names" : false, "suffix" : "" }, { "dropping-particle" : "", "family" : "Cohen", "given" : "D.", "non-dropping-particle" : "", "parse-names" : false, "suffix" : "" }, { "dropping-particle" : "", "family" : "Shpilberg", "given" : "O.", "non-dropping-particle" : "", "parse-names" : false, "suffix" : "" } ], "container-title" : "Infection", "id" : "ITEM-1", "issue" : "5", "issued" : { "date-parts" : [ [ "2000" ] ] }, "page" : "267-271", "title" : "A waterborne outbreak of gastroenteritis in the Golan Heights due to enterotoxigenic Escherichia coli", "type" : "article-journal", "volume" : "28" }, "uris" : [ "http://www.mendeley.com/documents/?uuid=fed3d441-0484-4187-979d-1b56e8188386" ] } ], "mendeley" : { "formattedCitation" : "(Huerta et al. 2000)", "plainTextFormattedCitation" : "(Huerta et al. 2000)", "previouslyFormattedCitation" : "(Huerta et al. 2000)" }, "properties" : { "noteIndex" : 0 }, "schema" : "https://github.com/citation-style-language/schema/raw/master/csl-citation.json" }</w:instrText>
      </w:r>
      <w:r w:rsidR="00482127" w:rsidRPr="00DC420D">
        <w:rPr>
          <w:lang w:val="es-ES"/>
        </w:rPr>
        <w:fldChar w:fldCharType="separate"/>
      </w:r>
      <w:r w:rsidRPr="00DC420D">
        <w:rPr>
          <w:noProof/>
          <w:lang w:val="es-ES"/>
        </w:rPr>
        <w:t>(Huerta et al. 2000)</w:t>
      </w:r>
      <w:r w:rsidR="00482127" w:rsidRPr="00DC420D">
        <w:rPr>
          <w:lang w:val="es-ES"/>
        </w:rPr>
        <w:fldChar w:fldCharType="end"/>
      </w:r>
      <w:r w:rsidR="00107B39" w:rsidRPr="00DC420D">
        <w:rPr>
          <w:lang w:val="es-ES"/>
        </w:rPr>
        <w:t>.</w:t>
      </w:r>
      <w:r w:rsidRPr="00DC420D">
        <w:rPr>
          <w:lang w:val="es-ES"/>
        </w:rPr>
        <w:t xml:space="preserve"> </w:t>
      </w:r>
      <w:r w:rsidR="00107B39" w:rsidRPr="00DC420D">
        <w:rPr>
          <w:lang w:val="es-ES"/>
        </w:rPr>
        <w:t>E</w:t>
      </w:r>
      <w:r w:rsidRPr="00DC420D">
        <w:rPr>
          <w:lang w:val="es-ES"/>
        </w:rPr>
        <w:t>n la actualidad</w:t>
      </w:r>
      <w:r w:rsidR="00FA0D6D">
        <w:rPr>
          <w:lang w:val="es-ES"/>
        </w:rPr>
        <w:t xml:space="preserve">, </w:t>
      </w:r>
      <w:r w:rsidR="00FA0D6D" w:rsidRPr="00FA0D6D">
        <w:rPr>
          <w:i/>
          <w:lang w:val="es-ES"/>
        </w:rPr>
        <w:t>E coli</w:t>
      </w:r>
      <w:r w:rsidRPr="00DC420D">
        <w:rPr>
          <w:lang w:val="es-ES"/>
        </w:rPr>
        <w:t xml:space="preserve"> representa un gran riesgo dentro de la industria ya que tiene mayor resistencia </w:t>
      </w:r>
      <w:r w:rsidR="00482127" w:rsidRPr="00DC420D">
        <w:rPr>
          <w:lang w:val="es-ES"/>
        </w:rPr>
        <w:fldChar w:fldCharType="begin" w:fldLock="1"/>
      </w:r>
      <w:r w:rsidRPr="00DC420D">
        <w:rPr>
          <w:lang w:val="es-ES"/>
        </w:rPr>
        <w:instrText>ADDIN CSL_CITATION { "citationItems" : [ { "id" : "ITEM-1", "itemData" : { "DOI" : "10.1086/597292", "ISSN" : "1537-6591", "PMID" : "19231979", "abstract" : "Because of the intensive use of antimicrobial agents in food animal production, meat is frequently contaminated with antimicrobial-resistant Escherichia coli. Humans can be colonized with E. coli of animal origin, and because of resistance to commonly used antimicrobial agents, these bacteria may cause infections for which limited therapeutic options are available. This may lead to treatment failure and can have serious consequences for the patient. Furthermore, E. coli of animal origin may act as a donor of antimicrobial resistance genes for other pathogenic E. coli. Thus, the intensive use of antimicrobial agents in food animals may add to the burden of antimicrobial resistance in humans. Bacteria from the animal reservoir that carry resistance to antimicrobial agents that are regarded as highly or critically important in human therapy (e.g., aminoglycosides, fluoroquinolones, and third- and fourth-generation cephalosporins) are of especially great concern.", "author" : [ { "dropping-particle" : "", "family" : "Hammerum", "given" : "Anette M", "non-dropping-particle" : "", "parse-names" : false, "suffix" : "" }, { "dropping-particle" : "", "family" : "Heuer", "given" : "Ole E", "non-dropping-particle" : "", "parse-names" : false, "suffix" : "" } ], "container-title" : "Clinical infectious diseases : an official publication of the Infectious Diseases Society of America", "id" : "ITEM-1", "issue" : "7", "issued" : { "date-parts" : [ [ "2009" ] ] }, "page" : "916-921", "title" : "Human health hazards from antimicrobial-resistant Escherichia coli of animal origin.", "type" : "article-journal", "volume" : "48" }, "uris" : [ "http://www.mendeley.com/documents/?uuid=bc1633e6-dceb-4b7e-bb89-46c58fe4221e" ] } ], "mendeley" : { "formattedCitation" : "(Hammerum and Heuer 2009)", "plainTextFormattedCitation" : "(Hammerum and Heuer 2009)", "previouslyFormattedCitation" : "(Hammerum and Heuer 2009)" }, "properties" : { "noteIndex" : 0 }, "schema" : "https://github.com/citation-style-language/schema/raw/master/csl-citation.json" }</w:instrText>
      </w:r>
      <w:r w:rsidR="00482127" w:rsidRPr="00DC420D">
        <w:rPr>
          <w:lang w:val="es-ES"/>
        </w:rPr>
        <w:fldChar w:fldCharType="separate"/>
      </w:r>
      <w:r w:rsidRPr="00DC420D">
        <w:rPr>
          <w:noProof/>
          <w:lang w:val="es-ES"/>
        </w:rPr>
        <w:t xml:space="preserve">(Hammerum </w:t>
      </w:r>
      <w:r w:rsidR="00F83064">
        <w:rPr>
          <w:noProof/>
          <w:lang w:val="es-ES"/>
        </w:rPr>
        <w:t>y</w:t>
      </w:r>
      <w:r w:rsidRPr="00DC420D">
        <w:rPr>
          <w:noProof/>
          <w:lang w:val="es-ES"/>
        </w:rPr>
        <w:t xml:space="preserve"> Heuer 2009)</w:t>
      </w:r>
      <w:r w:rsidR="00482127" w:rsidRPr="00DC420D">
        <w:rPr>
          <w:lang w:val="es-ES"/>
        </w:rPr>
        <w:fldChar w:fldCharType="end"/>
      </w:r>
      <w:r w:rsidRPr="00DC420D">
        <w:rPr>
          <w:lang w:val="es-ES"/>
        </w:rPr>
        <w:t xml:space="preserve">. Esta bacteria se transmite a los humanos por contacto físico con otra persona infectada, contacto con animales </w:t>
      </w:r>
      <w:r w:rsidR="00482127" w:rsidRPr="00DC420D">
        <w:rPr>
          <w:lang w:val="es-ES"/>
        </w:rPr>
        <w:fldChar w:fldCharType="begin" w:fldLock="1"/>
      </w:r>
      <w:r w:rsidRPr="00DC420D">
        <w:rPr>
          <w:lang w:val="es-ES"/>
        </w:rPr>
        <w:instrText>ADDIN CSL_CITATION { "citationItems" : [ { "id" : "ITEM-1", "itemData" : { "DOI" : "10.1371/journal.pone.0046226", "ISSN" : "19326203", "PMID" : "23049986", "abstract" : "BACKGROUND: Furred pets in the household are known reservoirs for pathogenic bacteria, but it is not known if transmission of bacteria between pet and owner leads to significantly increased rate of infections. We studied whether cats and dogs living in the household of pregnant women affect the commensal vaginal flora, and furthermore the need for oral antibiotics and rate of urinary tract infections during pregnancy.\\n\\nMETHODS: The novel unselected Copenhagen Prospective Study on Asthma in Childhood (COPSAC(2010)) pregnancy cohort of 709 women participated in this analysis. Detailed information on pet exposure, oral antibiotic prescriptions filled at pharmacy and urinary tract infection during pregnancy was obtained and verified prospectively during clinic visits. Vaginal cultures were obtained at pregnancy week 36.\\n\\nRESULTS: Women, who had cat or dog in the home during pregnancy, had a different vaginal flora, in particular with increased Escherichia coli (E. coli) colonization; odds ratio after adjustment for lifestyle confounders and antibiotics 2.20, 95% CI, [1.27-3.80], p=0.005. 43% of women living with cat and/or dog in the home used oral antibiotics compared to 33% of women with no cat or dog; adjusted odds ratio 1.51, 95% CI, [1.08-2.12], p=0.016. Women living with cat had increased frequency of self-reported urinary tract infection; adjusted odds ratio 1.57, 95% CI, [1.02-2.43], p=0.042.\\n\\nCONCLUSIONS: The increased vaginal E. coli colonization in women living with cat or dog suggests a clinically important transmission of pathogenic bacteria from pet to owner substantiated by increased rate of antibiotic use and urinary tract infections which, which is of particular concern during pregnancy.", "author" : [ { "dropping-particle" : "", "family" : "Stokholm", "given" : "Jakob", "non-dropping-particle" : "", "parse-names" : false, "suffix" : "" }, { "dropping-particle" : "", "family" : "Schj\u00f8rring", "given" : "Susanne", "non-dropping-particle" : "", "parse-names" : false, "suffix" : "" }, { "dropping-particle" : "", "family" : "Pedersen", "given" : "Louise", "non-dropping-particle" : "", "parse-names" : false, "suffix" : "" }, { "dropping-particle" : "", "family" : "Bischoff", "given" : "Anne Louise", "non-dropping-particle" : "", "parse-names" : false, "suffix" : "" }, { "dropping-particle" : "", "family" : "F\u00f8lsgaard", "given" : "Nilofar", "non-dropping-particle" : "", "parse-names" : false, "suffix" : "" }, { "dropping-particle" : "", "family" : "Carson", "given" : "Charlotte G.", "non-dropping-particle" : "", "parse-names" : false, "suffix" : "" }, { "dropping-particle" : "", "family" : "Chawes", "given" : "Bo", "non-dropping-particle" : "", "parse-names" : false, "suffix" : "" }, { "dropping-particle" : "", "family" : "B\u00f8nnelykke", "given" : "Klaus", "non-dropping-particle" : "", "parse-names" : false, "suffix" : "" }, { "dropping-particle" : "", "family" : "M\u00f8lgaard", "given" : "Anne", "non-dropping-particle" : "", "parse-names" : false, "suffix" : "" }, { "dropping-particle" : "", "family" : "Krogfelt", "given" : "Karen a.", "non-dropping-particle" : "", "parse-names" : false, "suffix" : "" }, { "dropping-particle" : "", "family" : "Bisgaard", "given" : "Hans", "non-dropping-particle" : "", "parse-names" : false, "suffix" : "" } ], "container-title" : "PLoS ONE", "id" : "ITEM-1", "issue" : "9", "issued" : { "date-parts" : [ [ "2012" ] ] }, "page" : "7-12", "title" : "Living with Cat and Dog Increases Vaginal Colonization with E. coli in Pregnant Women", "type" : "article-journal", "volume" : "7" }, "uris" : [ "http://www.mendeley.com/documents/?uuid=f475072a-346a-450a-b917-0674d6712975" ] } ], "mendeley" : { "formattedCitation" : "(Stokholm et al. 2012)", "plainTextFormattedCitation" : "(Stokholm et al. 2012)", "previouslyFormattedCitation" : "(Stokholm et al. 2012)" }, "properties" : { "noteIndex" : 0 }, "schema" : "https://github.com/citation-style-language/schema/raw/master/csl-citation.json" }</w:instrText>
      </w:r>
      <w:r w:rsidR="00482127" w:rsidRPr="00DC420D">
        <w:rPr>
          <w:lang w:val="es-ES"/>
        </w:rPr>
        <w:fldChar w:fldCharType="separate"/>
      </w:r>
      <w:r w:rsidRPr="00DC420D">
        <w:rPr>
          <w:noProof/>
          <w:lang w:val="es-ES"/>
        </w:rPr>
        <w:t>(Stokholm et al. 2012)</w:t>
      </w:r>
      <w:r w:rsidR="00482127" w:rsidRPr="00DC420D">
        <w:rPr>
          <w:lang w:val="es-ES"/>
        </w:rPr>
        <w:fldChar w:fldCharType="end"/>
      </w:r>
      <w:r w:rsidRPr="00DC420D">
        <w:rPr>
          <w:lang w:val="es-ES"/>
        </w:rPr>
        <w:t xml:space="preserve"> e ingestión de agua o comida contaminada </w:t>
      </w:r>
      <w:r w:rsidR="00482127" w:rsidRPr="00DC420D">
        <w:rPr>
          <w:lang w:val="es-ES"/>
        </w:rPr>
        <w:fldChar w:fldCharType="begin" w:fldLock="1"/>
      </w:r>
      <w:r w:rsidRPr="00DC420D">
        <w:rPr>
          <w:lang w:val="es-ES"/>
        </w:rPr>
        <w:instrText>ADDIN CSL_CITATION { "citationItems" : [ { "id" : "ITEM-1", "itemData" : { "DOI" : "10.1093/cid/cit468", "ISBN" : "1537-6591", "ISSN" : "10584838", "PMID" : "23876397", "abstract" : "BACKGROUND: An outbreak of Escherichia coli O157:H7 was identified in Oregon through an increase in Shiga toxin-producing E. coli cases with an indistinguishable, novel pulsed-field gel electrophoresis (PFGE) subtyping pattern. METHODS: We defined confirmed cases as persons from whom E. coli O157:H7 with the outbreak PFGE pattern was cultured during July-August 2011, and presumptive cases as persons having a household relationship with a case testing positive for E. coli O157:H7 and coincident diarrheal illness. We conducted an investigation that included structured hypothesis-generating interviews, a matched case-control study, and environmental and traceback investigations. RESULTS: We identified 15 cases. Six cases were hospitalized, including 4 with hemolytic uremic syndrome (HUS). Two cases with HUS died. Illness was significantly associated with strawberry consumption from roadside stands or farmers' markets (matched odds ratio, 19.6; 95% confidence interval, 2.9-\u221e). A single farm was identified as the source of contaminated strawberries. Ten of 111 (9%) initial environmental samples from farm A were positive for E. coli O157:H7. All samples testing positive for E. coli O157:H7 contained deer feces, and 5 tested farm fields had \u2265 1 sample positive with the outbreak PFGE pattern. CONCLUSIONS: The investigation identified fresh strawberries as a novel vehicle for E. coli O157:H7 infection, implicated deer feces as the source of contamination, and highlights problems concerning produce contamination by wildlife and regulatory exemptions for locally grown produce. A comprehensive hypothesis-generating questionnaire enabled rapid identification of the implicated product. Good agricultural practices are key barriers to wildlife fecal contamination of produce.", "author" : [ { "dropping-particle" : "", "family" : "Laidler", "given" : "Matthew R.", "non-dropping-particle" : "", "parse-names" : false, "suffix" : "" }, { "dropping-particle" : "", "family" : "Tourdjman", "given" : "Mathieu", "non-dropping-particle" : "", "parse-names" : false, "suffix" : "" }, { "dropping-particle" : "", "family" : "Buser", "given" : "Genevieve L.", "non-dropping-particle" : "", "parse-names" : false, "suffix" : "" }, { "dropping-particle" : "", "family" : "Hostetler", "given" : "Trevor", "non-dropping-particle" : "", "parse-names" : false, "suffix" : "" }, { "dropping-particle" : "", "family" : "Repp", "given" : "Kimberly K.", "non-dropping-particle" : "", "parse-names" : false, "suffix" : "" }, { "dropping-particle" : "", "family" : "Leman", "given" : "Richard", "non-dropping-particle" : "", "parse-names" : false, "suffix" : "" }, { "dropping-particle" : "", "family" : "Samadpour", "given" : "Mansour", "non-dropping-particle" : "", "parse-names" : false, "suffix" : "" }, { "dropping-particle" : "", "family" : "Keene", "given" : "William E.", "non-dropping-particle" : "", "parse-names" : false, "suffix" : "" } ], "container-title" : "Clinical Infectious Diseases", "id" : "ITEM-1", "issue" : "8", "issued" : { "date-parts" : [ [ "2013" ] ] }, "page" : "1129-1134", "title" : "Escherichia coli O157:H7 infections associated with consumption of locally grown strawberries contaminated by deer", "type" : "article-journal", "volume" : "57" }, "uris" : [ "http://www.mendeley.com/documents/?uuid=bb825f87-80ff-4417-92df-b4466b163213" ] }, { "id" : "ITEM-2", "itemData" : { "DOI" : "10.1007/s150100070017", "ISSN" : "03008126", "PMID" : "11073131", "abstract" : "BACKGROUND: Over a period of 4 days between May 18-21, 1998, a multifocal outbreak of diarrhea, involving 175 Israel Defence Force soldiers and at least 54 civilians, occurred in the Golan Heights. PATIENTS AND METHODS: Stool samples from 40 affected soldiers were collected for microbiological testing. In addition, a rapid PCR technique was employed for the direct detection of the heat-labile (LT) and heat-stable toxin (ST) genes of enterotoxigenic Escherichia coli (ETEC) in stool samples. RESULTS: All 40 stool specimens taken from patients with diarrhea was negative by culture. However, ETEC was detected in 16 stool specimens using the rapid PCR method. The epidemiological investigation found no association between the food items consumed prior to the onset of the outbreak and the attack rate of diarrhea. A review of the water distribution system revealed that all affected military posts and civilian communities were supplied by a common water pipeline. Water sampled from various points along the distribution system showed inadequate chlorination and high concentrations of E. coli. CONCLUSION: This report suggests that the involvement of ETEC in the etiology of waterborne diarrheal outbreaks may be underestimated, probably due to the difficulties involved in the laboratory identification of this enteropathogen. Adoption of our rapid method for the identification of ETEC, which is applicable to routine diagnostic laboratories, facilitates pathogen detection within hours, and allows early intervention in cases of widespread diarrheal epidemics.", "author" : [ { "dropping-particle" : "", "family" : "Huerta", "given" : "M.", "non-dropping-particle" : "", "parse-names" : false, "suffix" : "" }, { "dropping-particle" : "", "family" : "Grotto", "given" : "I.", "non-dropping-particle" : "", "parse-names" : false, "suffix" : "" }, { "dropping-particle" : "", "family" : "Gdalevich", "given" : "M.", "non-dropping-particle" : "", "parse-names" : false, "suffix" : "" }, { "dropping-particle" : "", "family" : "Mimouni", "given" : "D.", "non-dropping-particle" : "", "parse-names" : false, "suffix" : "" }, { "dropping-particle" : "", "family" : "Gavrieli", "given" : "B.", "non-dropping-particle" : "", "parse-names" : false, "suffix" : "" }, { "dropping-particle" : "", "family" : "Yavzori", "given" : "M.", "non-dropping-particle" : "", "parse-names" : false, "suffix" : "" }, { "dropping-particle" : "", "family" : "Cohen", "given" : "D.", "non-dropping-particle" : "", "parse-names" : false, "suffix" : "" }, { "dropping-particle" : "", "family" : "Shpilberg", "given" : "O.", "non-dropping-particle" : "", "parse-names" : false, "suffix" : "" } ], "container-title" : "Infection", "id" : "ITEM-2", "issue" : "5", "issued" : { "date-parts" : [ [ "2000" ] ] }, "page" : "267-271", "title" : "A waterborne outbreak of gastroenteritis in the Golan Heights due to enterotoxigenic Escherichia coli", "type" : "article-journal", "volume" : "28" }, "uris" : [ "http://www.mendeley.com/documents/?uuid=fed3d441-0484-4187-979d-1b56e8188386" ] }, { "id" : "ITEM-3", "itemData" : { "DOI" : "10.1016/S0048-9697(01)00749-5", "ISBN" : "0048-9697 (Print)\\n0048-9697 (Linking)", "ISSN" : "00489697", "PMID" : "11453296", "abstract" : "Chemical risk assessments often focus on measuring exposure as if individuals were subject only to exogenous environmental sources of risk. For infectious diseases, exposure might not only depend on exogenous sources of microbes, but also on the infection status of other individuals in the population. For example, waterborne infections from agents such as Cryptosporidium parvum and Escherichia coli: O157:H7 might be transmitted from contaminated water to humans through drinking water; from interpersonal contact; or from infected individuals to the environment, and back to other susceptible individuals. These multiple pathways and the dependency of exposure on the prevalence of infection in a population suggest that epidemiological models are required to complement standard risk assessments in order to quantify the risk of infection. This paper presents new models of infection transmission systems that are being developed for the US Environmental Protection Agency as part of a project to quantify the risk of microbial infection. The models are designed to help inform water treatment system design decisions. Copyright \u00a9 2001 Elsevier Science B.V.", "author" : [ { "dropping-particle" : "", "family" : "Chick", "given" : "Stephen E.", "non-dropping-particle" : "", "parse-names" : false, "suffix" : "" }, { "dropping-particle" : "", "family" : "Koopman", "given" : "James S.", "non-dropping-particle" : "", "parse-names" : false, "suffix" : "" }, { "dropping-particle" : "", "family" : "Soorapanth", "given" : "Sada", "non-dropping-particle" : "", "parse-names" : false, "suffix" : "" }, { "dropping-particle" : "", "family" : "Brown", "given" : "Mary E.", "non-dropping-particle" : "", "parse-names" : false, "suffix" : "" } ], "container-title" : "Science of the Total Environment", "id" : "ITEM-3", "issue" : "1-3", "issued" : { "date-parts" : [ [ "2001" ] ] }, "page" : "197-207", "title" : "Infection transmission system models for microbial risk assessment", "type" : "article-journal", "volume" : "274" }, "uris" : [ "http://www.mendeley.com/documents/?uuid=6e3e1322-bd0c-461b-b7fd-25147990a779" ] } ], "mendeley" : { "formattedCitation" : "(Chick et al. 2001; Huerta et al. 2000; Laidler et al. 2013)", "plainTextFormattedCitation" : "(Chick et al. 2001; Huerta et al. 2000; Laidler et al. 2013)", "previouslyFormattedCitation" : "(Chick et al. 2001; Huerta et al. 2000; Laidler et al. 2013)" }, "properties" : { "noteIndex" : 0 }, "schema" : "https://github.com/citation-style-language/schema/raw/master/csl-citation.json" }</w:instrText>
      </w:r>
      <w:r w:rsidR="00482127" w:rsidRPr="00DC420D">
        <w:rPr>
          <w:lang w:val="es-ES"/>
        </w:rPr>
        <w:fldChar w:fldCharType="separate"/>
      </w:r>
      <w:r w:rsidRPr="00DC420D">
        <w:rPr>
          <w:noProof/>
          <w:lang w:val="es-ES"/>
        </w:rPr>
        <w:t>(Chick et al. 2001; Huerta et al. 2000; Laidler et al. 2013)</w:t>
      </w:r>
      <w:r w:rsidR="00482127" w:rsidRPr="00DC420D">
        <w:rPr>
          <w:lang w:val="es-ES"/>
        </w:rPr>
        <w:fldChar w:fldCharType="end"/>
      </w:r>
      <w:r w:rsidRPr="00DC420D">
        <w:rPr>
          <w:lang w:val="es-ES"/>
        </w:rPr>
        <w:t xml:space="preserve">. Los síntomas que produce son dolor abdominal, diarrea, náuseas, vómitos, fiebre, fatiga y deshidratación. Sin embargo, en muchos pacientes los síntomas no aparecen, </w:t>
      </w:r>
      <w:r w:rsidR="005C367B">
        <w:rPr>
          <w:lang w:val="es-ES"/>
        </w:rPr>
        <w:t>pese</w:t>
      </w:r>
      <w:r w:rsidRPr="00DC420D">
        <w:rPr>
          <w:lang w:val="es-ES"/>
        </w:rPr>
        <w:t xml:space="preserve"> </w:t>
      </w:r>
      <w:r w:rsidR="005C367B">
        <w:rPr>
          <w:lang w:val="es-ES"/>
        </w:rPr>
        <w:t>a</w:t>
      </w:r>
      <w:r w:rsidRPr="00DC420D">
        <w:rPr>
          <w:lang w:val="es-ES"/>
        </w:rPr>
        <w:t xml:space="preserve"> ello transmiten la bacteria </w:t>
      </w:r>
      <w:r w:rsidR="00482127" w:rsidRPr="00DC420D">
        <w:rPr>
          <w:lang w:val="es-ES"/>
        </w:rPr>
        <w:fldChar w:fldCharType="begin" w:fldLock="1"/>
      </w:r>
      <w:r w:rsidRPr="00DC420D">
        <w:rPr>
          <w:lang w:val="es-ES"/>
        </w:rPr>
        <w:instrText>ADDIN CSL_CITATION { "citationItems" : [ { "id" : "ITEM-1", "itemData" : { "DOI" : "10.1099/jmm.0.068783-0", "ISSN" : "00222615", "PMID" : "24464694", "abstract" : "Urinary tract infections (UTIs) are primarily caused by Escherichia coli with the patient's own faecal flora acting as a reservoir for the infecting E. coli. Here we sought to characterize the E. coli faecal flora of UTI patients and healthy controls who had never had a UTI. Up to 20 E. coli colonies from each rectal swab were random amplified polymorphic DNA (RAPD) typed for clonality, dominance in the sample and correlation to the infecting UTI isolate in patients. Each distinct clone was phylotyped and tested for antimicrobial susceptibility. Eighty-seven per cent of the UTI patients carried the infecting strain in their faecal flora, and faecal clones causing UTI were more often dominant in the faecal flora. Patients had a larger diversity of E. coli in their gut flora by carrying more unique E. coli clones compared to controls, and patient faecal clones were more often associated with multidrug resistance compared to controls. We found a similar phylotype distribution of faecal clones from UTI patients and healthy controls, including a large proportion of B2 isolates in the control group. Faecal-UTI isolates from patients were more often associated with multidrug resistance compared to faecal-only clones, indicating a link between UTI virulence and antimicrobial resistance. Intake of any antibiotic less than 6 months prior to inclusion in the experiment occurred significantly more in patients with UTI than in controls. In contrast, presence of an intrauterine device was significantly more common in controls indicating a protective effect against UTI. In conclusion, healthy controls have a large proportion of potentially pathogenic E. coli phylotypes in their faecal flora without this causing infection.", "author" : [ { "dropping-particle" : "", "family" : "Nielsen", "given" : "Karen L.", "non-dropping-particle" : "", "parse-names" : false, "suffix" : "" }, { "dropping-particle" : "", "family" : "Dynesen", "given" : "Pia", "non-dropping-particle" : "", "parse-names" : false, "suffix" : "" }, { "dropping-particle" : "", "family" : "Larsen", "given" : "Preben", "non-dropping-particle" : "", "parse-names" : false, "suffix" : "" }, { "dropping-particle" : "", "family" : "Frimodt-M\u00f8ller", "given" : "Niels", "non-dropping-particle" : "", "parse-names" : false, "suffix" : "" } ], "container-title" : "Journal of Medical Microbiology", "id" : "ITEM-1", "issue" : "PART 4", "issued" : { "date-parts" : [ [ "2014" ] ] }, "page" : "582-589", "title" : "Faecal Escherichia coli from patients with E. coli urinary tract infection and healthy controls who have never had a urinary tract infection", "type" : "article-journal", "volume" : "63" }, "uris" : [ "http://www.mendeley.com/documents/?uuid=d1ab7e38-cdd7-439d-8bef-676fc91c421d" ] } ], "mendeley" : { "formattedCitation" : "(Nielsen et al. 2014)", "plainTextFormattedCitation" : "(Nielsen et al. 2014)", "previouslyFormattedCitation" : "(Nielsen et al. 2014)" }, "properties" : { "noteIndex" : 0 }, "schema" : "https://github.com/citation-style-language/schema/raw/master/csl-citation.json" }</w:instrText>
      </w:r>
      <w:r w:rsidR="00482127" w:rsidRPr="00DC420D">
        <w:rPr>
          <w:lang w:val="es-ES"/>
        </w:rPr>
        <w:fldChar w:fldCharType="separate"/>
      </w:r>
      <w:r w:rsidRPr="00DC420D">
        <w:rPr>
          <w:noProof/>
          <w:lang w:val="es-ES"/>
        </w:rPr>
        <w:t>(Nielsen et al. 2014)</w:t>
      </w:r>
      <w:r w:rsidR="00482127" w:rsidRPr="00DC420D">
        <w:rPr>
          <w:lang w:val="es-ES"/>
        </w:rPr>
        <w:fldChar w:fldCharType="end"/>
      </w:r>
      <w:r w:rsidRPr="00DC420D">
        <w:rPr>
          <w:lang w:val="es-ES"/>
        </w:rPr>
        <w:t>.</w:t>
      </w:r>
    </w:p>
    <w:p w:rsidR="00334117" w:rsidRPr="00DC420D" w:rsidRDefault="00334117" w:rsidP="00234195">
      <w:pPr>
        <w:spacing w:after="0" w:line="240" w:lineRule="auto"/>
        <w:rPr>
          <w:lang w:val="es-ES"/>
        </w:rPr>
      </w:pPr>
      <w:r w:rsidRPr="00DC420D">
        <w:rPr>
          <w:lang w:val="es-ES"/>
        </w:rPr>
        <w:t>Para prevenir tales infecciones se ha</w:t>
      </w:r>
      <w:r w:rsidR="000D7EED" w:rsidRPr="00DC420D">
        <w:rPr>
          <w:lang w:val="es-ES"/>
        </w:rPr>
        <w:t>n</w:t>
      </w:r>
      <w:r w:rsidRPr="00DC420D">
        <w:rPr>
          <w:lang w:val="es-ES"/>
        </w:rPr>
        <w:t xml:space="preserve"> evaluado diferentes extractos de ajo</w:t>
      </w:r>
      <w:r w:rsidR="004B7886">
        <w:rPr>
          <w:lang w:val="es-ES"/>
        </w:rPr>
        <w:t>;</w:t>
      </w:r>
      <w:r w:rsidRPr="00DC420D">
        <w:rPr>
          <w:lang w:val="es-ES"/>
        </w:rPr>
        <w:t xml:space="preserve"> uno de los estudios, extrajo mediante fluidos supercríticos los componentes sulfurados y su uso mostró buenos resultados </w:t>
      </w:r>
      <w:r w:rsidR="00482127" w:rsidRPr="00DC420D">
        <w:rPr>
          <w:lang w:val="es-ES"/>
        </w:rPr>
        <w:fldChar w:fldCharType="begin" w:fldLock="1"/>
      </w:r>
      <w:r w:rsidRPr="00DC420D">
        <w:rPr>
          <w:lang w:val="es-ES"/>
        </w:rPr>
        <w:instrText>ADDIN CSL_CITATION { "citationItems" : [ { "id" : "ITEM-1", "itemData" : { "DOI" : "10.1134/S1990793110070092", "ISSN" : "1990-7931", "author" : [ { "dropping-particle" : "", "family" : "Zalepugin", "given" : "D. Yu.", "non-dropping-particle" : "", "parse-names" : false, "suffix" : "" }, { "dropping-particle" : "", "family" : "Tilkunova", "given" : "N. a.", "non-dropping-particle" : "", "parse-names" : false, "suffix" : "" }, { "dropping-particle" : "", "family" : "Yashin", "given" : "Yu. S.", "non-dropping-particle" : "", "parse-names" : false, "suffix" : "" }, { "dropping-particle" : "V.", "family" : "Chernyshova", "given" : "I.", "non-dropping-particle" : "", "parse-names" : false, "suffix" : "" }, { "dropping-particle" : "", "family" : "Mishin", "given" : "V. S.", "non-dropping-particle" : "", "parse-names" : false, "suffix" : "" }, { "dropping-particle" : "", "family" : "Mulyukin", "given" : "a. L.", "non-dropping-particle" : "", "parse-names" : false, "suffix" : "" } ], "container-title" : "Russian Journal of Physical Chemistry B", "id" : "ITEM-1", "issue" : "7", "issued" : { "date-parts" : [ [ "2010" ] ] }, "page" : "1103-1111", "title" : "Application of supercritical fluid extraction to the development of new potential biocides on the basis of garlic (Allium sativum L.)", "type" : "article-journal", "volume" : "4" }, "uris" : [ "http://www.mendeley.com/documents/?uuid=aa7114e6-cb31-4543-9485-cdb002023ff3" ] } ], "mendeley" : { "formattedCitation" : "(Zalepugin et al. 2010)", "plainTextFormattedCitation" : "(Zalepugin et al. 2010)", "previouslyFormattedCitation" : "(Zalepugin et al. 2010)" }, "properties" : { "noteIndex" : 0 }, "schema" : "https://github.com/citation-style-language/schema/raw/master/csl-citation.json" }</w:instrText>
      </w:r>
      <w:r w:rsidR="00482127" w:rsidRPr="00DC420D">
        <w:rPr>
          <w:lang w:val="es-ES"/>
        </w:rPr>
        <w:fldChar w:fldCharType="separate"/>
      </w:r>
      <w:r w:rsidRPr="00DC420D">
        <w:rPr>
          <w:noProof/>
          <w:lang w:val="es-ES"/>
        </w:rPr>
        <w:t>(Zalepugin et al. 2010)</w:t>
      </w:r>
      <w:r w:rsidR="00482127" w:rsidRPr="00DC420D">
        <w:rPr>
          <w:lang w:val="es-ES"/>
        </w:rPr>
        <w:fldChar w:fldCharType="end"/>
      </w:r>
      <w:r w:rsidR="000D7EED" w:rsidRPr="00DC420D">
        <w:rPr>
          <w:lang w:val="es-ES"/>
        </w:rPr>
        <w:t>. S</w:t>
      </w:r>
      <w:r w:rsidRPr="00DC420D">
        <w:rPr>
          <w:lang w:val="es-ES"/>
        </w:rPr>
        <w:t xml:space="preserve">in embargo el contenido en compuestos organosulfurados oscila dependiendo de la variedad </w:t>
      </w:r>
      <w:r w:rsidR="00FA0D6D">
        <w:rPr>
          <w:lang w:val="es-ES"/>
        </w:rPr>
        <w:t xml:space="preserve">del ajo </w:t>
      </w:r>
      <w:r w:rsidRPr="00DC420D">
        <w:rPr>
          <w:lang w:val="es-ES"/>
        </w:rPr>
        <w:t xml:space="preserve">y de las condiciones de cultivo y almacenamiento </w:t>
      </w:r>
      <w:r w:rsidR="00482127" w:rsidRPr="00DC420D">
        <w:rPr>
          <w:lang w:val="es-ES"/>
        </w:rPr>
        <w:fldChar w:fldCharType="begin" w:fldLock="1"/>
      </w:r>
      <w:r w:rsidRPr="00DC420D">
        <w:rPr>
          <w:lang w:val="es-ES"/>
        </w:rPr>
        <w:instrText>ADDIN CSL_CITATION { "citationItems" : [ { "id" : "ITEM-1", "itemData" : { "DOI" : "10.1021/jf060083o", "ISSN" : "00218561", "PMID" : "16787038", "abstract" : "We determined the changes in the contents of three gamma-glutamyl peptides and four sulfoxides in garlic cloves during storage at -3, 4, and 23 degrees C for 150 days using a validated high-performance liquid chromatography method that we reported recently. When garlic was stored at 4 degrees C for 150 days, marked conversion of the gamma-glutamyl peptides, gamma-L-glutamyl-S-allyl-L-cysteine and gamma-L-glutamyl-S-(trans-1-propenyl)-L-cysteine (GSPC), to sulfoxides, alliin and isoalliin, was observed. Interestingly, however, when garlic was stored at 23 degrees C, a decrease in GSPC and a marked increase in cycloalliin, rather than isoalliin, occurred. To elucidate in detail the mechanism involved, the conversion of isoalliin to cycloalliin in both buffer solutions (pH 4.6, 5.5, and 6.5) and garlic cloves at 25 and 35 degrees C was examined. Decreases in the concentration of isoalliin in both the solutions and the garlic cloves during storage followed first-order kinetics and coincided with the conversion of cycloalliin. Our data indicated that isoalliin produced enzymatically from GSPC is chemically converted to cycloalliin and that the cycloalliin content of garlic cloves increases during storage at higher temperature. These data may be useful for controlling the quality and biological activities of garlic and its preparations.", "author" : [ { "dropping-particle" : "", "family" : "Ichikawa", "given" : "Makoto", "non-dropping-particle" : "", "parse-names" : false, "suffix" : "" }, { "dropping-particle" : "", "family" : "Ide", "given" : "Nagatoshi", "non-dropping-particle" : "", "parse-names" : false, "suffix" : "" }, { "dropping-particle" : "", "family" : "Ono", "given" : "Kazuhisa", "non-dropping-particle" : "", "parse-names" : false, "suffix" : "" } ], "container-title" : "Journal of Agricultural and Food Chemistry", "id" : "ITEM-1", "issue" : "13", "issued" : { "date-parts" : [ [ "2006" ] ] }, "page" : "4849-4854", "title" : "Changes in organosulfur compounds in garlic cloves during storage", "type" : "article-journal", "volume" : "54" }, "uris" : [ "http://www.mendeley.com/documents/?uuid=7b77f71f-c1cf-45e2-bcd4-4e039b2f9794" ] } ], "mendeley" : { "formattedCitation" : "(Ichikawa, Ide, and Ono 2006)", "plainTextFormattedCitation" : "(Ichikawa, Ide, and Ono 2006)", "previouslyFormattedCitation" : "(Ichikawa, Ide, and Ono 2006)" }, "properties" : { "noteIndex" : 0 }, "schema" : "https://github.com/citation-style-language/schema/raw/master/csl-citation.json" }</w:instrText>
      </w:r>
      <w:r w:rsidR="00482127" w:rsidRPr="00DC420D">
        <w:rPr>
          <w:lang w:val="es-ES"/>
        </w:rPr>
        <w:fldChar w:fldCharType="separate"/>
      </w:r>
      <w:r w:rsidRPr="00DC420D">
        <w:rPr>
          <w:noProof/>
          <w:lang w:val="es-ES"/>
        </w:rPr>
        <w:t xml:space="preserve">(Ichikawa, </w:t>
      </w:r>
      <w:r w:rsidR="00F83064">
        <w:rPr>
          <w:noProof/>
          <w:lang w:val="es-ES"/>
        </w:rPr>
        <w:t>et al.</w:t>
      </w:r>
      <w:r w:rsidRPr="00DC420D">
        <w:rPr>
          <w:noProof/>
          <w:lang w:val="es-ES"/>
        </w:rPr>
        <w:t xml:space="preserve"> 2006)</w:t>
      </w:r>
      <w:r w:rsidR="00482127" w:rsidRPr="00DC420D">
        <w:rPr>
          <w:lang w:val="es-ES"/>
        </w:rPr>
        <w:fldChar w:fldCharType="end"/>
      </w:r>
      <w:r w:rsidRPr="00DC420D">
        <w:rPr>
          <w:lang w:val="es-ES"/>
        </w:rPr>
        <w:t xml:space="preserve">. Por otra parte, estos extractos </w:t>
      </w:r>
      <w:r w:rsidRPr="00DC420D">
        <w:rPr>
          <w:lang w:val="es-ES"/>
        </w:rPr>
        <w:lastRenderedPageBreak/>
        <w:t xml:space="preserve">contienen mezclas de los compuestos sulfurados, por lo que no se determina el efecto de cada uno de ellos por separado, lo cual es </w:t>
      </w:r>
      <w:r w:rsidR="004B7886">
        <w:rPr>
          <w:lang w:val="es-ES"/>
        </w:rPr>
        <w:t>un</w:t>
      </w:r>
      <w:r w:rsidRPr="00DC420D">
        <w:rPr>
          <w:lang w:val="es-ES"/>
        </w:rPr>
        <w:t xml:space="preserve"> gran </w:t>
      </w:r>
      <w:r w:rsidR="004B7886">
        <w:rPr>
          <w:lang w:val="es-ES"/>
        </w:rPr>
        <w:t>limitante a</w:t>
      </w:r>
      <w:r w:rsidR="005C367B">
        <w:rPr>
          <w:lang w:val="es-ES"/>
        </w:rPr>
        <w:t xml:space="preserve"> </w:t>
      </w:r>
      <w:r w:rsidR="004B7886">
        <w:rPr>
          <w:lang w:val="es-ES"/>
        </w:rPr>
        <w:t>l</w:t>
      </w:r>
      <w:r w:rsidR="005C367B">
        <w:rPr>
          <w:lang w:val="es-ES"/>
        </w:rPr>
        <w:t>a</w:t>
      </w:r>
      <w:r w:rsidR="004B7886">
        <w:rPr>
          <w:lang w:val="es-ES"/>
        </w:rPr>
        <w:t xml:space="preserve"> </w:t>
      </w:r>
      <w:r w:rsidR="005C367B">
        <w:rPr>
          <w:lang w:val="es-ES"/>
        </w:rPr>
        <w:t>hora</w:t>
      </w:r>
      <w:r w:rsidR="004B7886">
        <w:rPr>
          <w:lang w:val="es-ES"/>
        </w:rPr>
        <w:t xml:space="preserve"> de</w:t>
      </w:r>
      <w:r w:rsidRPr="00DC420D">
        <w:rPr>
          <w:lang w:val="es-ES"/>
        </w:rPr>
        <w:t xml:space="preserve"> </w:t>
      </w:r>
      <w:r w:rsidR="00FA0D6D">
        <w:rPr>
          <w:lang w:val="es-ES"/>
        </w:rPr>
        <w:t>estandarizar</w:t>
      </w:r>
      <w:r w:rsidRPr="00DC420D">
        <w:rPr>
          <w:lang w:val="es-ES"/>
        </w:rPr>
        <w:t xml:space="preserve"> su uso en alimentos.</w:t>
      </w:r>
    </w:p>
    <w:p w:rsidR="00334117" w:rsidRPr="00F83064" w:rsidRDefault="00334117" w:rsidP="00234195">
      <w:pPr>
        <w:spacing w:after="0" w:line="240" w:lineRule="auto"/>
        <w:rPr>
          <w:lang w:val="fr-FR"/>
        </w:rPr>
      </w:pPr>
      <w:r w:rsidRPr="00DC420D">
        <w:rPr>
          <w:lang w:val="es-ES"/>
        </w:rPr>
        <w:t>El dialil disulfuro</w:t>
      </w:r>
      <w:r w:rsidR="004B7886">
        <w:rPr>
          <w:lang w:val="es-ES"/>
        </w:rPr>
        <w:t xml:space="preserve"> (DADS)</w:t>
      </w:r>
      <w:r w:rsidRPr="00DC420D">
        <w:rPr>
          <w:lang w:val="es-ES"/>
        </w:rPr>
        <w:t xml:space="preserve"> parece un buen candidato para ser estudiado por separado ya que, por una parte</w:t>
      </w:r>
      <w:r w:rsidR="005C367B">
        <w:rPr>
          <w:lang w:val="es-ES"/>
        </w:rPr>
        <w:t>,</w:t>
      </w:r>
      <w:r w:rsidRPr="00DC420D">
        <w:rPr>
          <w:lang w:val="es-ES"/>
        </w:rPr>
        <w:t xml:space="preserve"> es el producto mayoritario de la descomposición de la alicina y, por otra, diversos estudios muestran su efecto inhibitorio sobre diferentes bacterias como </w:t>
      </w:r>
      <w:r w:rsidRPr="00DC420D">
        <w:rPr>
          <w:i/>
          <w:lang w:val="es-ES"/>
        </w:rPr>
        <w:t xml:space="preserve">Salmonella typhinorium, S. aureus, Listeria monocitogenes </w:t>
      </w:r>
      <w:r w:rsidRPr="00DC420D">
        <w:rPr>
          <w:lang w:val="es-ES"/>
        </w:rPr>
        <w:t>y también</w:t>
      </w:r>
      <w:r w:rsidRPr="00DC420D">
        <w:rPr>
          <w:i/>
          <w:lang w:val="es-ES"/>
        </w:rPr>
        <w:t xml:space="preserve"> E. coli</w:t>
      </w:r>
      <w:r w:rsidRPr="00DC420D">
        <w:rPr>
          <w:lang w:val="es-ES"/>
        </w:rPr>
        <w:t xml:space="preserve"> </w:t>
      </w:r>
      <w:r w:rsidR="00482127" w:rsidRPr="00DC420D">
        <w:rPr>
          <w:lang w:val="es-ES"/>
        </w:rPr>
        <w:fldChar w:fldCharType="begin" w:fldLock="1"/>
      </w:r>
      <w:r w:rsidR="0087160F" w:rsidRPr="00DC420D">
        <w:rPr>
          <w:lang w:val="es-ES"/>
        </w:rPr>
        <w:instrText>ADDIN CSL_CITATION { "citationItems" : [ { "id" : "ITEM-1", "itemData" : { "DOI" : "10.1016/S0309-1740(02)00047-5", "ISBN" : "8864247300", "ISSN" : "03091740", "PMID" : "22061980", "abstract" : "The antioxidant and antimicrobial protection of diallyl sulfide (DAS), diallyl disulfide (DADS), s-ethyl cysteine (SEC), n-acetyl cysteine (NAC) in ground beef against discoloration, lipid oxidation and microbial contamination were studied. The exogenous addition of these garlic-derived organosulfur compounds significantly delayed both oxymyoglobin and lipid oxidations (P&lt;0.05). The antioxidant protection from these organosulfur compounds was dose-dependent (P&lt;0.05), and showed significantly greater antioxidant activity than \u03b1-tocopherol (P&lt;0.05). The presence of DAS and DADS in ground beef significantly reduced total aerobes and inhibited the growth of five inoculated pathogenic bacteria, Salmonella typhimurium, Escherichia coli O157:H7, Listeria monocytogenes, Staphyllococcus aureus and Campylobacter jejuni (P&lt;0.05). These results suggested the application of these organosulfur compounds in meat or other food systems could enhance color, lipid and microbial safety.", "author" : [ { "dropping-particle" : "", "family" : "Yin", "given" : "Mei-chin", "non-dropping-particle" : "", "parse-names" : false, "suffix" : "" }, { "dropping-particle" : "", "family" : "Cheng", "given" : "Wen-shen", "non-dropping-particle" : "", "parse-names" : false, "suffix" : "" } ], "container-title" : "Meat Science", "id" : "ITEM-1", "issue" : "1", "issued" : { "date-parts" : [ [ "2003" ] ] }, "page" : "23-28", "title" : "Antioxidant and antimicrobial effects of four garlic-derived organosulfur compounds in ground beef", "type" : "article-journal", "volume" : "63" }, "uris" : [ "http://www.mendeley.com/documents/?uuid=b950fd1b-ae8b-4019-8a02-dac0c7cea455" ] }, { "id" : "ITEM-2", "itemData" : { "DOI" : "10.1021/ac2001498", "ISBN" : "0003-2700", "ISSN" : "00032700", "PMID" : "21553849", "abstract" : "The antimicrobial effects of garlic (Allium sativum) extract (25, 50, 75, 100, and 200 \u03bcL/ml) and diallyl sulfide (5, 10, and 20 \u03bcM) on Listeria monocytogenes and Escherichia coli O157:H7 cultivated in tryptic soy broth at 4, 22, and 35 \u00b0C for up to 7 days were investigated. L. monocytogenes was more resistant to garlic extract and diallyl compounds treatment than E. coli O157:H7. Fourier transform infrared (FT-IR) spectroscopy indicated that diallyl constituents contributed more to the antimicrobial effect than phenolic compounds. This effect was verified by Raman spectroscopy and Raman mapping on single bacteria. Scanning electron microscope (SEM) and transmission electron microscope (TEM) showed cell membrane damage consistent with spectroscopic observation. The degree of bacterial cell injury could be quantified using chemometric methods.", "author" : [ { "dropping-particle" : "", "family" : "Lu", "given" : "Xiaonan", "non-dropping-particle" : "", "parse-names" : false, "suffix" : "" }, { "dropping-particle" : "", "family" : "Rasco", "given" : "Barbara a.", "non-dropping-particle" : "", "parse-names" : false, "suffix" : "" }, { "dropping-particle" : "", "family" : "Kang", "given" : "Dong Hyun", "non-dropping-particle" : "", "parse-names" : false, "suffix" : "" }, { "dropping-particle" : "", "family" : "Jabal", "given" : "Jamie M F", "non-dropping-particle" : "", "parse-names" : false, "suffix" : "" }, { "dropping-particle" : "", "family" : "Aston", "given" : "D. Eric", "non-dropping-particle" : "", "parse-names" : false, "suffix" : "" }, { "dropping-particle" : "", "family" : "Konkel", "given" : "Michael E.", "non-dropping-particle" : "", "parse-names" : false, "suffix" : "" } ], "container-title" : "Analytical Chemistry", "id" : "ITEM-2", "issue" : "11", "issued" : { "date-parts" : [ [ "2011" ] ] }, "page" : "4137-4146", "title" : "Infrared and Raman spectroscopic studies of the antimicrobial effects of garlic concentrates and diallyl constituents on foodborne pathogens", "type" : "article-journal", "volume" : "83" }, "uris" : [ "http://www.mendeley.com/documents/?uuid=4308fe8a-b04a-4d08-a45c-5e5e8800c464" ] }, { "id" : "ITEM-3", "itemData" : { "DOI" : "10.1016/j.meatsci.2004.08.004", "ISBN" : "0309-1740", "ISSN" : "03091740", "PMID" : "22062974", "abstract" : "The antioxidant and antibacterial effect of rosemary, orange and lemon extracts was investigated in cooked Swedish-style meat-balls. Activity in a lard system was established for all the extracts and further determination of the development of rancidity as thiobarbituric acid reactive substances consistently showed that about 50% of the rancidity can be controlled by the citrus preparations. Two of the rosemary extracts (water soluble and oil soluble) were more effective with practically complete elimination of rancidity (TBA values) after a period of 12 days. Rosemary extract activity against lactic acid bacteria and Listeria but not Brochothrix thermosphacta was demonstrated in an agar diffusion test, but in the product only lactic acid bacteria counts were slightly reduced. Sensory analysis results, particularly aroma and acceptability scores, indicated the significant advantages in using rosemary and citrus extracts in rancidity-susceptible meat products. \u00a9 2004 Elsevier Ltd. All rights reserved.", "author" : [ { "dropping-particle" : "", "family" : "Fern\u00e1ndez-L\u00f3pez", "given" : "J.", "non-dropping-particle" : "", "parse-names" : false, "suffix" : "" }, { "dropping-particle" : "", "family" : "Zhi", "given" : "N.", "non-dropping-particle" : "", "parse-names" : false, "suffix" : "" }, { "dropping-particle" : "", "family" : "Aleson-Carbonell", "given" : "L.", "non-dropping-particle" : "", "parse-names" : false, "suffix" : "" }, { "dropping-particle" : "", "family" : "P\u00e9rez-Alvarez", "given" : "J. a.", "non-dropping-particle" : "", "parse-names" : false, "suffix" : "" }, { "dropping-particle" : "", "family" : "Kuri", "given" : "V.", "non-dropping-particle" : "", "parse-names" : false, "suffix" : "" } ], "container-title" : "Meat Science", "id" : "ITEM-3", "issue" : "3", "issued" : { "date-parts" : [ [ "2005" ] ] }, "page" : "371-380", "title" : "Antioxidant and antibacterial activities of natural extracts: Application in beef meatballs", "type" : "article-journal", "volume" : "69" }, "uris" : [ "http://www.mendeley.com/documents</w:instrText>
      </w:r>
      <w:r w:rsidR="0087160F" w:rsidRPr="006D067A">
        <w:rPr>
          <w:lang w:val="fr-FR"/>
        </w:rPr>
        <w:instrText>/?uuid=95053649-8417-455b-bd9b-bf6c46508538" ] }, { "i</w:instrText>
      </w:r>
      <w:r w:rsidR="0087160F" w:rsidRPr="00F83064">
        <w:rPr>
          <w:lang w:val="fr-FR"/>
        </w:rPr>
        <w:instrText>d" : "ITEM-4", "itemData" : { "ISSN" : "19960808", "author" : [ { "dropping-particle" : "", "family" : "Rattanachaikunsopon", "given" : "P", "non-dropping-particle" : "", "parse-names" : false, "suffix" : "" }, { "dropping-particle" : "", "family" : "Phumkhachorn", "given" : "P", "non-dropping-particle" : "", "parse-names" : false, "suffix" : "" } ], "container-title" : "African Journal of Microbiology Research", "id" : "ITEM-4", "issue" : "11", "issued" : { "date-parts" : [ [ "2009" ] ] }, "page" : "747-750", "title" : "Shallot ( Allium ascalonicum L.) oil: Diallyl sulfide content and antimicrobial activity against food-borne pathogenic bacteria", "type" : "article-journal", "volume" : "3" }, "uris" : [ "http://www.mendeley.com/documents/?uuid=2501d2f0-2c18-43e5-bee6-027ae1032a7b" ] } ], "mendeley" : { "formattedCitation" : "(Fern\u00e1ndez-L\u00f3pez et al. 2005; Lu, Rasco, Kang, et al. 2011; P Rattanachaikunsopon and Phumkhachorn 2009; Yin and Cheng 2003)", "plainTextFormattedCitation" : "(Fern\u00e1ndez-L\u00f3pez et al. 2005; Lu, Rasco, Kang, et al. 2011; P Rattanachaikunsopon and Phumkhachorn 2009; Yin and Cheng 2003)", "previouslyFormattedCitation" : "(Fern\u00e1ndez-L\u00f3pez et al. 2005; Lu, Rasco, Kang, et al. 2011; P Rattanachaikunsopon and Phumkhachorn 2009; Yin and Cheng 2003)" }, "properties" : { "noteIndex" : 0 }, "schema" : "https://github.com/citation-style-language/schema/raw/master/csl-citation.json" }</w:instrText>
      </w:r>
      <w:r w:rsidR="00482127" w:rsidRPr="00DC420D">
        <w:rPr>
          <w:lang w:val="es-ES"/>
        </w:rPr>
        <w:fldChar w:fldCharType="separate"/>
      </w:r>
      <w:r w:rsidR="00032E48" w:rsidRPr="00F83064">
        <w:rPr>
          <w:noProof/>
          <w:lang w:val="fr-FR"/>
        </w:rPr>
        <w:t>(Fernández-López et al. 2005; Lu</w:t>
      </w:r>
      <w:bookmarkStart w:id="10" w:name="_GoBack"/>
      <w:bookmarkEnd w:id="10"/>
      <w:r w:rsidR="00032E48" w:rsidRPr="00F83064">
        <w:rPr>
          <w:noProof/>
          <w:lang w:val="fr-FR"/>
        </w:rPr>
        <w:t xml:space="preserve"> et al. 2011; Rattanachaikunsopon </w:t>
      </w:r>
      <w:r w:rsidR="00F83064" w:rsidRPr="00F83064">
        <w:rPr>
          <w:noProof/>
          <w:lang w:val="fr-FR"/>
        </w:rPr>
        <w:t>y</w:t>
      </w:r>
      <w:r w:rsidR="00032E48" w:rsidRPr="00F83064">
        <w:rPr>
          <w:noProof/>
          <w:lang w:val="fr-FR"/>
        </w:rPr>
        <w:t xml:space="preserve"> Phumkhachorn 2009; Yin </w:t>
      </w:r>
      <w:r w:rsidR="00F83064" w:rsidRPr="00F83064">
        <w:rPr>
          <w:noProof/>
          <w:lang w:val="fr-FR"/>
        </w:rPr>
        <w:t>y</w:t>
      </w:r>
      <w:r w:rsidR="00032E48" w:rsidRPr="00F83064">
        <w:rPr>
          <w:noProof/>
          <w:lang w:val="fr-FR"/>
        </w:rPr>
        <w:t xml:space="preserve"> Cheng 2003)</w:t>
      </w:r>
      <w:r w:rsidR="00482127" w:rsidRPr="00DC420D">
        <w:rPr>
          <w:lang w:val="es-ES"/>
        </w:rPr>
        <w:fldChar w:fldCharType="end"/>
      </w:r>
      <w:r w:rsidRPr="00F83064">
        <w:rPr>
          <w:lang w:val="fr-FR"/>
        </w:rPr>
        <w:t>.</w:t>
      </w:r>
    </w:p>
    <w:p w:rsidR="00334117" w:rsidRPr="00BB5CE9" w:rsidRDefault="00334117" w:rsidP="00234195">
      <w:pPr>
        <w:spacing w:after="0" w:line="240" w:lineRule="auto"/>
        <w:rPr>
          <w:lang w:val="es-ES"/>
        </w:rPr>
      </w:pPr>
      <w:r w:rsidRPr="00DC420D">
        <w:rPr>
          <w:lang w:val="es-ES"/>
        </w:rPr>
        <w:t xml:space="preserve">No obstante, el uso de </w:t>
      </w:r>
      <w:r w:rsidR="00107B39" w:rsidRPr="00DC420D">
        <w:rPr>
          <w:lang w:val="es-ES"/>
        </w:rPr>
        <w:t>estos compuestos</w:t>
      </w:r>
      <w:r w:rsidR="00FA0D6D">
        <w:rPr>
          <w:lang w:val="es-ES"/>
        </w:rPr>
        <w:t xml:space="preserve"> sulfurados</w:t>
      </w:r>
      <w:r w:rsidRPr="00DC420D">
        <w:rPr>
          <w:lang w:val="es-ES"/>
        </w:rPr>
        <w:t xml:space="preserve">, presentan una serie de inconvenientes que limitan su uso en la industria alimentaria. Uno de ellos es su inestabilidad frente a las altas temperaturas, además de su capacidad para modificar las características organolépticas del alimento. Una posible </w:t>
      </w:r>
      <w:r w:rsidRPr="00BB5CE9">
        <w:rPr>
          <w:lang w:val="es-ES"/>
        </w:rPr>
        <w:t>aproximación para resolver estos inconvenientes es la encapsulación.</w:t>
      </w:r>
    </w:p>
    <w:p w:rsidR="00DC420D" w:rsidRPr="00BB5CE9" w:rsidRDefault="00B4789B" w:rsidP="00234195">
      <w:pPr>
        <w:spacing w:after="0" w:line="240" w:lineRule="auto"/>
        <w:rPr>
          <w:lang w:val="es-ES"/>
        </w:rPr>
      </w:pPr>
      <w:r w:rsidRPr="00BB5CE9">
        <w:rPr>
          <w:lang w:val="es-ES"/>
        </w:rPr>
        <w:t>En la actualidad se evalúan nuevos materiales para la encapsulación de diversos compuestos. Entre estos materiales destacan l</w:t>
      </w:r>
      <w:r w:rsidR="00334117" w:rsidRPr="00BB5CE9">
        <w:rPr>
          <w:lang w:val="es-ES"/>
        </w:rPr>
        <w:t>as partículas mesoporosas de sílice</w:t>
      </w:r>
      <w:r w:rsidR="005C367B">
        <w:rPr>
          <w:lang w:val="es-ES"/>
        </w:rPr>
        <w:t>.</w:t>
      </w:r>
      <w:r w:rsidR="00334117" w:rsidRPr="00BB5CE9">
        <w:rPr>
          <w:lang w:val="es-ES"/>
        </w:rPr>
        <w:t xml:space="preserve"> </w:t>
      </w:r>
      <w:r w:rsidR="005C367B">
        <w:rPr>
          <w:lang w:val="es-ES"/>
        </w:rPr>
        <w:t>E</w:t>
      </w:r>
      <w:r w:rsidR="0007056D" w:rsidRPr="00BB5CE9">
        <w:rPr>
          <w:lang w:val="es-ES"/>
        </w:rPr>
        <w:t>ste soporte</w:t>
      </w:r>
      <w:r w:rsidRPr="00BB5CE9">
        <w:rPr>
          <w:lang w:val="es-ES"/>
        </w:rPr>
        <w:t xml:space="preserve"> posee una elevada área superficial</w:t>
      </w:r>
      <w:r w:rsidR="00DC420D" w:rsidRPr="00BB5CE9">
        <w:rPr>
          <w:lang w:val="es-ES"/>
        </w:rPr>
        <w:t>,</w:t>
      </w:r>
      <w:r w:rsidRPr="00BB5CE9">
        <w:rPr>
          <w:lang w:val="es-ES"/>
        </w:rPr>
        <w:t xml:space="preserve"> </w:t>
      </w:r>
      <w:r w:rsidR="00DC420D" w:rsidRPr="00BB5CE9">
        <w:rPr>
          <w:lang w:val="es-ES"/>
        </w:rPr>
        <w:t xml:space="preserve">una formación porosa ordenada (poros hexagonales) con una estrecha distribución entre </w:t>
      </w:r>
      <w:r w:rsidR="004B7886" w:rsidRPr="00BB5CE9">
        <w:rPr>
          <w:lang w:val="es-ES"/>
        </w:rPr>
        <w:t>poros</w:t>
      </w:r>
      <w:r w:rsidR="00DC420D" w:rsidRPr="00BB5CE9">
        <w:rPr>
          <w:lang w:val="es-ES"/>
        </w:rPr>
        <w:t xml:space="preserve"> </w:t>
      </w:r>
      <w:r w:rsidR="004B7886" w:rsidRPr="00BB5CE9">
        <w:rPr>
          <w:lang w:val="es-ES"/>
        </w:rPr>
        <w:t xml:space="preserve">(diámetro </w:t>
      </w:r>
      <w:r w:rsidR="00DC420D" w:rsidRPr="00BB5CE9">
        <w:rPr>
          <w:lang w:val="es-ES"/>
        </w:rPr>
        <w:t xml:space="preserve">entre 2 y 5 nm). Estas características y su selectividad por moléculas pequeñas, tales como componentes volátiles de aceites esenciales, hacen que sean excelentes sistemas de encapsulación </w:t>
      </w:r>
      <w:r w:rsidR="00DC420D" w:rsidRPr="00BB5CE9">
        <w:rPr>
          <w:lang w:val="es-ES"/>
        </w:rPr>
        <w:fldChar w:fldCharType="begin" w:fldLock="1"/>
      </w:r>
      <w:r w:rsidR="00DC420D" w:rsidRPr="00BB5CE9">
        <w:rPr>
          <w:lang w:val="es-ES"/>
        </w:rPr>
        <w:instrText>ADDIN CSL_CITATION { "citationItems" : [ { "id" : "ITEM-1", "itemData" : { "DOI" : "10.1016/j.indcrop.2015.01.019", "ISSN" : "09266690", "author" : [ { "dropping-particle" : "", "family" : "Janatova", "given" : "Anezka", "non-dropping-particle" : "", "parse-names" : false, "suffix" : "" }, { "dropping-particle" : "", "family" : "Bernardos", "given" : "Andrea", "non-dropping-particle" : "", "parse-names" : false, "suffix" : "" }, { "dropping-particle" : "", "family" : "Smid", "given" : "Jakub", "non-dropping-particle" : "", "parse-names" : false, "suffix" : "" }, { "dropping-particle" : "", "family" : "Frankova", "given" : "Adela", "non-dropping-particle" : "", "parse-names" : false, "suffix" : "" }, { "dropping-particle" : "", "family" : "Lhotka", "given" : "Miloslav", "non-dropping-particle" : "", "parse-names" : false, "suffix" : "" }, { "dropping-particle" : "", "family" : "Kourimsk\u00e1", "given" : "Lenka", "non-dropping-particle" : "", "parse-names" : false, "suffix" : "" }, { "dropping-particle" : "", "family" : "Pulkrabek", "given" : "Josef", "non-dropping-particle" : "", "parse-names" : false, "suffix" : "" }, { "dropping-particle" : "", "family" : "Kloucek", "given" : "Pavel", "non-dropping-particle" : "", "parse-names" : false, "suffix" : "" } ], "container-title" : "Industrial Crops and Products", "id" : "ITEM-1", "issued" : { "date-parts" : [ [ "2015" ] ] }, "page" : "216-220", "publisher" : "Elsevier B.V.", "title" : "Long-term antifungal activity of volatile essential oil components released from mesoporous silica materials", "type" : "article-journal", "volume" : "67" }, "uris" : [ "http://www.mendeley.com/documents/?uuid=e3250c7d-9212-432e-9f72-6497f64d3636" ] } ], "mendeley" : { "formattedCitation" : "(Janatova et al. 2015)", "plainTextFormattedCitation" : "(Janatova et al. 2015)", "previouslyFormattedCitation" : "(Janatova et al. 2015)" }, "properties" : { "noteIndex" : 0 }, "schema" : "https://github.com/citation-style-language/schema/raw/master/csl-citation.json" }</w:instrText>
      </w:r>
      <w:r w:rsidR="00DC420D" w:rsidRPr="00BB5CE9">
        <w:rPr>
          <w:lang w:val="es-ES"/>
        </w:rPr>
        <w:fldChar w:fldCharType="separate"/>
      </w:r>
      <w:r w:rsidR="00DC420D" w:rsidRPr="00BB5CE9">
        <w:rPr>
          <w:noProof/>
          <w:lang w:val="es-ES"/>
        </w:rPr>
        <w:t>(Janatova et al. 2015)</w:t>
      </w:r>
      <w:r w:rsidR="00DC420D" w:rsidRPr="00BB5CE9">
        <w:rPr>
          <w:lang w:val="es-ES"/>
        </w:rPr>
        <w:fldChar w:fldCharType="end"/>
      </w:r>
      <w:r w:rsidR="00DC420D" w:rsidRPr="00BB5CE9">
        <w:rPr>
          <w:lang w:val="es-ES"/>
        </w:rPr>
        <w:t>.</w:t>
      </w:r>
    </w:p>
    <w:p w:rsidR="0007056D" w:rsidRDefault="0007056D" w:rsidP="00234195">
      <w:pPr>
        <w:spacing w:after="0" w:line="240" w:lineRule="auto"/>
        <w:rPr>
          <w:color w:val="0070C0"/>
          <w:lang w:val="es-ES"/>
        </w:rPr>
      </w:pPr>
      <w:r w:rsidRPr="00BB5CE9">
        <w:rPr>
          <w:lang w:val="es-ES"/>
        </w:rPr>
        <w:t>Dentro de las propiedades o características que tienen estos sólidos la forma como está hecha su superficie permite que hayan interacciones a través de las cuales es posible anclar una gran variedad de moléculas. Inicialmente se usaba</w:t>
      </w:r>
      <w:r w:rsidR="005C367B">
        <w:rPr>
          <w:lang w:val="es-ES"/>
        </w:rPr>
        <w:t>n</w:t>
      </w:r>
      <w:r w:rsidRPr="00BB5CE9">
        <w:rPr>
          <w:lang w:val="es-ES"/>
        </w:rPr>
        <w:t xml:space="preserve"> adhiriéndoles marcadores moleculares, después</w:t>
      </w:r>
      <w:r w:rsidR="005C367B">
        <w:rPr>
          <w:lang w:val="es-ES"/>
        </w:rPr>
        <w:t>,</w:t>
      </w:r>
      <w:r w:rsidRPr="00BB5CE9">
        <w:rPr>
          <w:lang w:val="es-ES"/>
        </w:rPr>
        <w:t xml:space="preserve"> con el auge de la liberación controlada, se planteó usar moléculas que recubren la superficie de dichos sólidos desarrollando una tecnología llamada “molecular gates” (puertas moleculares) </w:t>
      </w:r>
      <w:r w:rsidR="00C43AC2" w:rsidRPr="00BB5CE9">
        <w:rPr>
          <w:lang w:val="es-ES"/>
        </w:rPr>
        <w:fldChar w:fldCharType="begin" w:fldLock="1"/>
      </w:r>
      <w:r w:rsidR="00C43AC2" w:rsidRPr="00BB5CE9">
        <w:rPr>
          <w:lang w:val="es-ES"/>
        </w:rPr>
        <w:instrText>ADDIN CSL_CITATION { "citationItems" : [ { "id" : "ITEM-1", "itemData" : { "DOI" : "10.1039/b701744h", "ISBN" : "1359-7345; 1359-7345", "ISSN" : "1359-7345", "PMID" : "17668088", "abstract" : "Recent advancements in controlling the surface properties and particle morphology of the structurally defined mesoporous silica materials with high surface area (&gt;700 m(2) g(-1)) and pore volume (&gt;1 cm(3) g(-1)) have significantly enhanced their biocompatibility. Various methods have been developed for the functionalization of both the internal pore and exterior particle surfaces of these silicates with a tunable pore diameter ranging from 2 to 30 nm and a narrow pore size distribution. Herein, we review the recent research progress on the design of functional mesoporous silica materials for stimuli-responsive controlled release delivery of pharmaceutical drugs, genes, and other chemicals. Furthermore, the recent breakthroughs in utilizing these nanoscale porous materials as sensors for selective detections of various neurotransmitters and biological molecules are summarized.", "author" : [ { "dropping-particle" : "", "family" : "Trewyn", "given" : "Brian G", "non-dropping-particle" : "", "parse-names" : false, "suffix" : "" }, { "dropping-particle" : "", "family" : "Giri", "given" : "Supratim", "non-dropping-particle" : "", "parse-names" : false, "suffix" : "" }, { "dropping-particle" : "", "family" : "Slowing", "given" : "Igor I", "non-dropping-particle" : "", "parse-names" : false, "suffix" : "" }, { "dropping-particle" : "", "family" : "Lin", "given" : "Victor S-Y", "non-dropping-particle" : "", "parse-names" : false, "suffix" : "" } ], "container-title" : "Chemical communications (Cambridge, England)", "id" : "ITEM-1", "issue" : "31", "issued" : { "date-parts" : [ [ "2007" ] ] }, "page" : "3236-3245", "title" : "Mesoporous silica nanoparticle based controlled release, drug delivery, and biosensor systems.", "type" : "article-journal" }, "uris" : [ "http://www.mendeley.com/documents/?uuid=d2ab5686-3ba2-46f8-aea6-1b02c9687e8d" ] } ], "mendeley" : { "formattedCitation" : "(Trewyn et al. 2007)", "plainTextFormattedCitation" : "(Trewyn et al. 2007)", "previouslyFormattedCitation" : "(Trewyn et al. 2007)" }, "properties" : { "noteIndex" : 0 }, "schema" : "https://github.com/citation-style-language/schema/raw/master/csl-citation.json" }</w:instrText>
      </w:r>
      <w:r w:rsidR="00C43AC2" w:rsidRPr="00BB5CE9">
        <w:rPr>
          <w:lang w:val="es-ES"/>
        </w:rPr>
        <w:fldChar w:fldCharType="separate"/>
      </w:r>
      <w:r w:rsidR="00C43AC2" w:rsidRPr="00BB5CE9">
        <w:rPr>
          <w:noProof/>
          <w:lang w:val="es-ES"/>
        </w:rPr>
        <w:t>(Trewyn et al. 2007)</w:t>
      </w:r>
      <w:r w:rsidR="00C43AC2" w:rsidRPr="00BB5CE9">
        <w:rPr>
          <w:lang w:val="es-ES"/>
        </w:rPr>
        <w:fldChar w:fldCharType="end"/>
      </w:r>
      <w:r w:rsidR="00C43AC2" w:rsidRPr="00BB5CE9">
        <w:rPr>
          <w:lang w:val="es-ES"/>
        </w:rPr>
        <w:t>. Estas “puertas” presentan la propiedad de cambiar de conformación dependiendo de las condiciones del medio pudiendo estar abiertas o cerradas. De modo que permiten la liberación controlada de los componentes encapsulados en</w:t>
      </w:r>
      <w:r w:rsidR="00C43AC2" w:rsidRPr="00650299">
        <w:rPr>
          <w:color w:val="0070C0"/>
          <w:lang w:val="es-ES"/>
        </w:rPr>
        <w:t xml:space="preserve"> </w:t>
      </w:r>
      <w:r w:rsidR="00C43AC2" w:rsidRPr="00BB5CE9">
        <w:rPr>
          <w:lang w:val="es-ES"/>
        </w:rPr>
        <w:t xml:space="preserve">función de un estímulo específico presente en el medio </w:t>
      </w:r>
      <w:r w:rsidR="00C43AC2" w:rsidRPr="00BB5CE9">
        <w:rPr>
          <w:lang w:val="es-ES"/>
        </w:rPr>
        <w:fldChar w:fldCharType="begin" w:fldLock="1"/>
      </w:r>
      <w:r w:rsidR="00C43AC2" w:rsidRPr="00BB5CE9">
        <w:rPr>
          <w:lang w:val="es-ES"/>
        </w:rPr>
        <w:instrText>ADDIN CSL_CITATION { "citationItems" : [ { "id" : "ITEM-1", "itemData" : { "DOI" : "10.1016/j.jconrel.2008.07.037", "ISBN" : "0168-3659", "ISSN" : "01683659", "PMID" : "18727946", "abstract" : "A study on the controlled release of vitamin B2 in pure water from mesoporous silica-based materials containing a pH- and anion-controlled nano-supramolecular gate-like ensembles built up by anchoring suitable polyamines on the external surface is reported (solid S1). This solid contains the vitamin (the delivered molecule) onto the pores, whereas the amine-based gate-like ensemble is anchored on the pore outlets. To obtain solid S1 the mesoporous MCM-41 support was first synthesized using tetraethyl orthosilicate (TEOS) as hydrolytic inorganic precursor and the surfactant hexadecyltrimethylammonium bromide (CTAB) as porogen species. Calcination of the mesostructured phase resulted in the starting solid. Then, first the vitamin and the latter an excess of 3-[2-(2-aminoethylamino)ethylamino]propyl-trimethoxysilane were added to the suspension containing the MCM-41 scaffolding and stirred. Solid S1 was characterized using standard solid state procedures. It was found that the functionalization process and the inclusion of the vitamin on the pores do not modify the mesoporous structure of the starting material. Delivery studies in water were carried out at pH 2 and 7. At pH 2 all the anions studied (sulfate, phosphate, GMP and ATP) strongly hinder vitamin release (Canion = 1 \u00d7 10- 2\u00a0mol dm- 3), whereas at pH 7 the delivery was observed for sulfate and GMP whereas the gate remained closed in the presence of ATP and phosphate. Selective delivery at neutral pH and no-liberation in acidic conditions can also be controlled with ATP and GMP using a suitable concentration of anion. The remarkable anion-controllable response of the gate-like ensemble at a certain pH can be explained in terms of anion complex formation with the tethered polyamines. Finally, selectivity patterns have been discussed in terms of kinetic rates of vitamin B2 release. The pH-controlled gate-like scaffoldings on S1 might be a suitable prototype for the development of orally applicable delivery systems designed to have the particular ability to protect the cargo from the acidic conditions of the stomach (acid pH, gate closed) but will release the load at the intestine (basic pH, gate open). \u00a9 2008 Elsevier B.V. All rights reserved.", "author" : [ { "dropping-particle" : "", "family" : "Bernardos", "given" : "Andrea", "non-dropping-particle" : "", "parse-names" : false, "suffix" : "" }, { "dropping-particle" : "", "family" : "Aznar", "given" : "Elena", "non-dropping-particle" : "", "parse-names" : false, "suffix" : "" }, { "dropping-particle" : "", "family" : "Coll", "given" : "Carmen", "non-dropping-particle" : "", "parse-names" : false, "suffix" : "" }, { "dropping-particle" : "", "family" : "Mart\u00ednez-Ma\u00f1ez", "given" : "Ram\u00f3n", "non-dropping-particle" : "", "parse-names" : false, "suffix" : "" }, { "dropping-particle" : "", "family" : "Barat", "given" : "Jose Manuel", "non-dropping-particle" : "", "parse-names" : false, "suffix" : "" }, { "dropping-particle" : "", "family" : "Marcos", "given" : "Ma Dolores", "non-dropping-particle" : "", "parse-names" : false, "suffix" : "" }, { "dropping-particle" : "", "family" : "Sancen\u00f3n", "given" : "F\u00e9lix", "non-dropping-particle" : "", "parse-names" : false, "suffix" : "" }, { "dropping-particle" : "", "family" : "Benito", "given" : "Angel", "non-dropping-particle" : "", "parse-names" : false, "suffix" : "" }, { "dropping-particle" : "", "family" : "Soto", "given" : "Juan", "non-dropping-particle" : "", "parse-names" : false, "suffix" : "" } ], "container-title" : "Journal of Controlled Release", "id" : "ITEM-1", "issue" : "3", "issued" : { "date-parts" : [ [ "2008" ] ] }, "page" : "181-189", "publisher" : "Elsevier B.V.", "title" : "Controlled release of vitamin B2 using mesoporous materials functionalized with amine-bearing gate-like scaffoldings", "type" : "article-journal", "volume" : "131" }, "uris" : [ "http://www.mendeley.com/documents/?uuid=a8605c61-f2ce-4cbf-9e63-2559d723bcfa" ] }, { "id" : "ITEM-2", "itemData" : { "author" : [ { "dropping-particle" : "", "family" : "Lin", "given" : "Victor S", "non-dropping-particle" : "", "parse-names" : false, "suffix" : "" }, { "dropping-particle" : "", "family" : "Zhao", "given" : "Yannan", "non-dropping-particle" : "", "parse-names" : false, "suffix" : "" }, { "dropping-particle" : "", "family" : "Trewyn", "given" : "Brian G", "non-dropping-particle" : "", "parse-names" : false, "suffix" : "" }, { "dropping-particle" : "", "family" : "Slowing", "given" : "Igor I", "non-dropping-particle" : "", "parse-names" : false, "suffix" : "" } ], "container-title" : "Synthesis", "id" : "ITEM-2", "issued" : { "date-parts" : [ [ "2009" ] ] }, "page" : "1-9", "title" : "Supporting Information Mesoporous Silica Nanoparticle-based Double Drug Delivery System for Glucose Responsive Controlled Release of Insulin and Cyclic AMP", "type" : "article-journal" }, "uris" : [ "http://www.mendeley.com/documents/?uuid=206e3fdb-c337-4a63-b974-253bad033a70" ] }, { "id" : "ITEM-3", "itemData" : { "DOI" : "10.1002/anie.200604850", "ISBN" : "1433-7851", "ISSN" : "14337851", "PMID" : "17295377", "abstract" : "The release of guest molecules (cholesterol) included in the pores of mesoporous silica is promoted by simultaneous irradiation with UV and visible light. The reversible cis\u2013trans photoisomerization of azobenzene substituents on the pore surface causes a stirring action, which accelerates the diffusion of the guest from the pores (see picture), thus providing an intelligent controlled-release method.", "author" : [ { "dropping-particle" : "", "family" : "Zhu", "given" : "Yingchun", "non-dropping-particle" : "", "parse-names" : false, "suffix" : "" }, { "dropping-particle" : "", "family" : "Fujiwara", "given" : "Masahiro", "non-dropping-particle" : "", "parse-names" : false, "suffix" : "" } ], "container-title" : "Angewandte Chemie - International Edition", "id" : "ITEM-3", "issue" : "13", "issued" : { "date-parts" : [ [ "2007" ] ] }, "page" : "2241-2244", "title" : "Installing dynamic molecular photomechanics in mesopores: A multifunctional controlled-release nanosystem", "type" : "article-journal", "volume" : "46" }, "uris" : [ "http://www.mendeley.com/documents/?uuid=1e51c3bc-c614-4b59-b13b-79558a4eb60f" ] }, { "id" : "ITEM-4", "itemData" : { "DOI" : "10.1002/anie.200501819", "ISBN" : "1433-7851", "ISSN" : "14337851", "PMID" : "16038000", "abstract" : "Surface-functionalized mesoporous silica materials have been demonstrated to be excellent hosts of molecules of various sizes, shapes, and functionalities.[21\u201328] reports[29\u201333] Recent on the design of capped and gated mesoporous silica derivatives have shown promise in the generation of controlled-release nanodevices. Herein, we report the syn- thesis of a controlled-release delivery system that is based on MCM-41-type mesoporous silica nanorods (MSNs) capped with superparamagnetic iron oxide nanoparticles and is stimuli-responsive and chemically inert to guest molecules entrapped in the matrix.", "author" : [ { "dropping-particle" : "", "family" : "Giri", "given" : "Supratim", "non-dropping-particle" : "", "parse-names" : false, "suffix" : "" }, { "dropping-particle" : "", "family" : "Trewyn", "given" : "Brian G.", "non-dropping-particle" : "", "parse-names" : false, "suffix" : "" }, { "dropping-particle" : "", "family" : "Stellmaker", "given" : "Michael P.", "non-dropping-particle" : "", "parse-names" : false, "suffix" : "" }, { "dropping-particle" : "", "family" : "Lin", "given" : "V. S Y", "non-dropping-particle" : "", "parse-names" : false, "suffix" : "" } ], "container-title" : "Angewandte Chemie - International Edition", "id" : "ITEM-4", "issue" : "32", "issued" : { "date-parts" : [ [ "2005" ] ] }, "page" : "5038-5044", "title" : "Stimuli-responsive controlled-release delivery system based on mesoporous silica nanorods capped with magnetic nanoparticles", "type" : "article-journal", "volume" : "44" }, "uris" : [ "http://www.mendeley.com/documents/?uuid=27c91c82-6d2a-4d9b-97dd-32a9d03455f8" ] } ], "mendeley" : { "formattedCitation" : "(Bernardos et al. 2008; Giri et al. 2005; Lin et al. 2009; Zhu and Fujiwara 2007)", "manualFormatting" : "(Bernardos et al. 2008; Giri et al. 2005; Lin et al. 2009; Zhu y Fujiwara 2007)", "plainTextFormattedCitation" : "(Bernardos et al. 2008; Giri et al. 2005; Lin et al. 2009; Zhu and Fujiwara 2007)", "previouslyFormattedCitation" : "(Bernardos et al. 2008; Giri et al. 2005; Lin et al. 2009; Zhu and Fujiwara 2007)" }, "properties" : { "noteIndex" : 0 }, "schema" : "https://github.com/citation-style-language/schema/raw/master/csl-citation.json" }</w:instrText>
      </w:r>
      <w:r w:rsidR="00C43AC2" w:rsidRPr="00BB5CE9">
        <w:rPr>
          <w:lang w:val="es-ES"/>
        </w:rPr>
        <w:fldChar w:fldCharType="separate"/>
      </w:r>
      <w:r w:rsidR="00C43AC2" w:rsidRPr="00BB5CE9">
        <w:rPr>
          <w:noProof/>
          <w:lang w:val="es-ES"/>
        </w:rPr>
        <w:t>(Bernardos et al. 2008; Giri et al. 2005; Lin et al. 2009; Zhu y Fujiwara 2007)</w:t>
      </w:r>
      <w:r w:rsidR="00C43AC2" w:rsidRPr="00BB5CE9">
        <w:rPr>
          <w:lang w:val="es-ES"/>
        </w:rPr>
        <w:fldChar w:fldCharType="end"/>
      </w:r>
      <w:r w:rsidR="00C43AC2" w:rsidRPr="00BB5CE9">
        <w:rPr>
          <w:lang w:val="es-ES"/>
        </w:rPr>
        <w:t>.</w:t>
      </w:r>
    </w:p>
    <w:p w:rsidR="00820542" w:rsidRPr="00BB5CE9" w:rsidRDefault="00C43AC2" w:rsidP="00234195">
      <w:pPr>
        <w:spacing w:after="0" w:line="240" w:lineRule="auto"/>
        <w:rPr>
          <w:lang w:val="es-ES"/>
        </w:rPr>
      </w:pPr>
      <w:r w:rsidRPr="00BB5CE9">
        <w:rPr>
          <w:lang w:val="es-ES"/>
        </w:rPr>
        <w:t>Un estudio reciente de estos sistemas mesoporosos evalúo la encapsulación de la vitamina B1. En este caso, se ancl</w:t>
      </w:r>
      <w:r w:rsidR="005C367B">
        <w:rPr>
          <w:lang w:val="es-ES"/>
        </w:rPr>
        <w:t>aron</w:t>
      </w:r>
      <w:r w:rsidRPr="00BB5CE9">
        <w:rPr>
          <w:lang w:val="es-ES"/>
        </w:rPr>
        <w:t xml:space="preserve"> a las partículas un sistema de aminas. La liberación de la vitamina mostró diferentes cinéticas de liberación a pH neutro y ácido </w:t>
      </w:r>
      <w:r w:rsidRPr="00BB5CE9">
        <w:rPr>
          <w:lang w:val="es-ES"/>
        </w:rPr>
        <w:fldChar w:fldCharType="begin" w:fldLock="1"/>
      </w:r>
      <w:r w:rsidRPr="00BB5CE9">
        <w:rPr>
          <w:lang w:val="es-ES"/>
        </w:rPr>
        <w:instrText>ADDIN CSL_CITATION { "citationItems" : [ { "id" : "ITEM-1", "itemData" : { "DOI" : "10.1016/j.jconrel.2007.03.001", "ISBN" : "0168-3659", "ISSN" : "01683659", "abstract" : "The controlled release of vitamin B1 (VB1, thiamine hydrochloride) from mesoporous silica tablets coated with a series of sol-gel coatings was investigated. Tetraethoxysilane (TEOS), n-propyltriethoxysilane (PTES), n-octyltriethoxysilane (OTES), bis(trimethoxysilyl)hexane (TSH), bis(triethoxysilyl)octane (TSO), bis (trimethoxysilylpropyl)amine (TSPA), and bis[(3-trimethoxysilyl)propyl]ethylenediamine (TSPED) were used as precursors for the coatings. The effects of organosilane type and concentration, the number of coatings, drying temperature, and release media on VB1 release from the coated mesoporous silica tablets were comprehensively examined. The TSH, TSO, TSPA, and TSPED coatings were found to be more effective in suppression of release than the other coatings. VB1 release decreases with the increase in the number of coatings and drying temperature. It was found that there is an optimal coating solution concentration for the controlled release. In general, more VB1 is released in 0.01??M HCl solution than in 0.05??M phosphate buffer solution at pH 7.4 because of the electrostatic repulsions between the protonated VB1 cations and the positively charged mesoporous silica carrier/coatings. The experimental results show that drug release can be easily controlled by changing the organosilane type and the number of coating. The method used in this study is an effective and flexible way for controlled release due to the high drug loading and the easy control of release rate. ?? 2007 Elsevier B.V. All rights reserved.", "author" : [ { "dropping-particle" : "", "family" : "Wu", "given" : "Zhijian", "non-dropping-particle" : "", "parse-names" : false, "suffix" : "" }, { "dropping-particle" : "", "family" : "Jiang", "given" : "Yan", "non-dropping-particle" : "", "parse-names" : false, "suffix" : "" }, { "dropping-particle" : "", "family" : "Kim", "given" : "Taehoon", "non-dropping-particle" : "", "parse-names" : false, "suffix" : "" }, { "dropping-particle" : "", "family" : "Lee", "given" : "Kangtaek", "non-dropping-particle" : "", "parse-names" : false, "suffix" : "" } ], "container-title" : "Journal of Controlled Release", "id" : "ITEM-1", "issue" : "2", "issued" : { "date-parts" : [ [ "2007" ] ] }, "page" : "215-221", "title" : "Effects of surface coating on the controlled release of vitamin B1 from mesoporous silica tablets", "type" : "article-journal", "volume" : "119" }, "uris" : [ "http://www.mendeley.com/documents/?uuid=1314faa7-dd92-4328-bb32-7d65e7f938ad" ] } ], "mendeley" : { "formattedCitation" : "(Wu et al. 2007)", "plainTextFormattedCitation" : "(Wu et al. 2007)", "previouslyFormattedCitation" : "(Wu et al. 2007)" }, "properties" : { "noteIndex" : 0 }, "schema" : "https://github.com/citation-style-language/schema/raw/master/csl-citation.json" }</w:instrText>
      </w:r>
      <w:r w:rsidRPr="00BB5CE9">
        <w:rPr>
          <w:lang w:val="es-ES"/>
        </w:rPr>
        <w:fldChar w:fldCharType="separate"/>
      </w:r>
      <w:r w:rsidRPr="00BB5CE9">
        <w:rPr>
          <w:noProof/>
          <w:lang w:val="es-ES"/>
        </w:rPr>
        <w:t>(Wu et al. 2007)</w:t>
      </w:r>
      <w:r w:rsidRPr="00BB5CE9">
        <w:rPr>
          <w:lang w:val="es-ES"/>
        </w:rPr>
        <w:fldChar w:fldCharType="end"/>
      </w:r>
      <w:r w:rsidRPr="00BB5CE9">
        <w:rPr>
          <w:lang w:val="es-ES"/>
        </w:rPr>
        <w:t>. Siendo la liberación de la molécula cargada significativamente mayor a pH neutro que a ácido</w:t>
      </w:r>
      <w:r w:rsidR="00820542" w:rsidRPr="00BB5CE9">
        <w:rPr>
          <w:lang w:val="es-ES"/>
        </w:rPr>
        <w:t xml:space="preserve">. </w:t>
      </w:r>
    </w:p>
    <w:p w:rsidR="00C43AC2" w:rsidRPr="00562D6E" w:rsidRDefault="006872FE" w:rsidP="00234195">
      <w:pPr>
        <w:spacing w:after="0" w:line="240" w:lineRule="auto"/>
        <w:rPr>
          <w:color w:val="0070C0"/>
          <w:lang w:val="es-ES"/>
        </w:rPr>
      </w:pPr>
      <w:r w:rsidRPr="00BB5CE9">
        <w:rPr>
          <w:lang w:val="es-ES"/>
        </w:rPr>
        <w:t>Es</w:t>
      </w:r>
      <w:r w:rsidR="00C43AC2" w:rsidRPr="00BB5CE9">
        <w:rPr>
          <w:lang w:val="es-ES"/>
        </w:rPr>
        <w:t xml:space="preserve"> importante </w:t>
      </w:r>
      <w:r w:rsidRPr="00BB5CE9">
        <w:rPr>
          <w:lang w:val="es-ES"/>
        </w:rPr>
        <w:t>resaltar</w:t>
      </w:r>
      <w:r w:rsidR="00C43AC2" w:rsidRPr="00BB5CE9">
        <w:rPr>
          <w:lang w:val="es-ES"/>
        </w:rPr>
        <w:t xml:space="preserve"> que el soporte mesoporoso sin los ensamblados </w:t>
      </w:r>
      <w:r w:rsidR="00C43AC2" w:rsidRPr="00A20D29">
        <w:rPr>
          <w:lang w:val="es-ES"/>
        </w:rPr>
        <w:t>tipo puerta también ha sido usado para función de liberación de c</w:t>
      </w:r>
      <w:r w:rsidRPr="00A20D29">
        <w:rPr>
          <w:lang w:val="es-ES"/>
        </w:rPr>
        <w:t>ompuestos</w:t>
      </w:r>
      <w:r w:rsidR="00C43AC2" w:rsidRPr="00A20D29">
        <w:rPr>
          <w:lang w:val="es-ES"/>
        </w:rPr>
        <w:t xml:space="preserve"> </w:t>
      </w:r>
      <w:r w:rsidR="00C43AC2" w:rsidRPr="00A20D29">
        <w:rPr>
          <w:lang w:val="es-ES"/>
        </w:rPr>
        <w:fldChar w:fldCharType="begin" w:fldLock="1"/>
      </w:r>
      <w:r w:rsidR="006923CB" w:rsidRPr="00A20D29">
        <w:rPr>
          <w:lang w:val="es-ES"/>
        </w:rPr>
        <w:instrText>ADDIN CSL_CITATION { "citationItems" : [ { "id" : "ITEM-1", "itemData" : { "DOI" : "10.1002/ejic.200501035", "ISSN" : "14341948", "author" : [ { "dropping-particle" : "", "family" : "Qu", "given" : "Fengyu", "non-dropping-particle" : "", "parse-names" : false, "suffix" : "" }, { "dropping-particle" : "", "family" : "Zhu", "given" : "Guangshan", "non-dropping-particle" : "", "parse-names" : false, "suffix" : "" }, { "dropping-particle" : "", "family" : "Lin", "given" : "Huiming", "non-dropping-particle" : "", "parse-names" : false, "suffix" : "" }, { "dropping-particle" : "", "family" : "Sun", "given" : "Jinyu", "non-dropping-particle" : "", "parse-names" : false, "suffix" : "" }, { "dropping-particle" : "", "family" : "Zhang", "given" : "Daliang", "non-dropping-particle" : "", "parse-names" : false, "suffix" : "" }, { "dropping-particle" : "", "family" : "Li", "given" : "Shougui", "non-dropping-particle" : "", "parse-names" : false, "suffix" : "" }, { "dropping-particle" : "", "family" : "Qiu", "given" : "Shilun", "non-dropping-particle" : "", "parse-names" : false, "suffix" : "" } ], "container-title" : "European Journal of Inorganic Chemistry", "id" : "ITEM-1", "issue" : "19", "issued" : { "date-parts" : [ [ "2006" ] ] }, "page" : "3943-3947", "title" : "Drug self-templated synthesis of Ibuprofen/mesoporous silica for sustained release", "type" : "article-journal" }, "uris" : [ "http://www.mendeley.com/documents/?uuid=6a5e1286-59f8-4cfe-abf9-d6d3642a7b74" ] }, { "id" : "ITEM-2", "itemData" : { "DOI" : "10.1002/anie.200604488", "ISBN" : "1521-3773", "ISSN" : "14337851", "PMID" : "17854012", "abstract" : "Research on mesoporous materials for biomedical purposes has experienced an outstanding increase during recent years. Since 2001, when MCM-41 was first proposed as drug-delivery system, silica-based materials, such as SBA-15 or MCM-48, and some metal-organic frameworks have been discussed as drug carriers and controlled-release systems. Mesoporous materials are intended for both systemic-delivery systems and implantable local-delivery devices. The latter application provides very promising possibilities in the field of bone-tissue repair because of the excellent behavior of these materials as bioceramics. This Minireview deals with the advances in this field by the control of the textural parameters, surface functionalization, and the synthesis of sophisticated stimuli-response systems.", "author" : [ { "dropping-particle" : "", "family" : "Vallet-Reg\u00ed", "given" : "Mar\u00eda", "non-dropping-particle" : "", "parse-names" : false, "suffix" : "" }, { "dropping-particle" : "", "family" : "Balas", "given" : "Francisco", "non-dropping-particle" : "", "parse-names" : false, "suffix" : "" }, { "dropping-particle" : "", "family" : "Arcos", "given" : "Daniel", "non-dropping-particle" : "", "parse-names" : false, "suffix" : "" } ], "container-title" : "Angewandte Chemie - International Edition", "id" : "ITEM-2", "issue" : "40", "issued" : { "date-parts" : [ [ "2007" ] ] }, "page" : "7548-7558", "title" : "Mesoporous materials for drug delivery", "type" : "article-journal", "volume" : "46" }, "uris" : [ "http://www.mendeley.com/documents/?uuid=0be3a5b6-44ff-417f-9499-2c17b9c2cbe6" ] }, { "id" : "ITEM-3", "itemData" : { "DOI" : "10.1016/j.jconrel.2008.02.013", "ISBN" : "0168-3659", "ISSN" : "01683659", "PMID" : "18439699", "abstract" : "Mesoporous silicas are currently widely studied carrier matrices in drug delivery applications. Surface functionalization of the silica is often employed in order to enhance the interaction between the drug and the support. However, in many cases the effectiveness of the introduced surface functions is much lower than what could be expected, and the release rate from surface functionalized silica is often not very different from that of the bare silica support, suggesting that the drug-support interactions are weaker than assumed under physiologically relevant conditions. We have therefore studied the adsorption of a model acidic drug, salicylic acid, to amino-functionalized mesoporous silica both from organic solvents, and from water as a function of pH, in order to rationalize these findings. It is shown that the nature of the organic solvent has a great influence on the loading degree, which however is more pronounced for the pristine silica materials due to absence of strong drug-support interactions. More importantly, the net effective surface charge of the adsorbent was found to control the adsorption process in water, and remaining silanols on the silica surface after functionalization have a marked influence on the drug-support interactions. The results can explain the relatively minor influence of amino groups on the release of acidic drugs reported in the literature, and gives a ra</w:instrText>
      </w:r>
      <w:r w:rsidR="006923CB" w:rsidRPr="00F83064">
        <w:rPr>
          <w:lang w:val="fr-FR"/>
        </w:rPr>
        <w:instrText>tional basis for optimization of support-drug interactions. The results are also of interest for optimization of drug immobilization and purification, as many medicinal and biologically active compounds are organic acids. \u00a9 2008 Elsevier B.V. All rights reserved.", "author" : [ { "dropping-particle" : "", "family" : "Rosenholm", "given" : "Jessica M.", "non-dropping-particle" : "", "parse-names" : false, "suffix" : "" }, { "dropping-particle" : "", "family" : "Lind\u00e9n", "given" : "Mika", "non-dropping-particle" : "", "parse-names" : false, "suffix" : "" } ], "container-title" : "Journal of Controlled Release", "id" : "ITEM-3", "issue" : "2", "issued" : { "date-parts" : [ [ "2008" ] ] }, "page" : "157-164", "title" : "Towards establishing structure-activity relationships for mesoporous silica in drug delivery applications", "type" : "article-journal", "volume" : "128" }, "uris" : [ "http://www.mendeley.com/documents/?uuid=0c4d8051-a714-42be-a3eb-f8085b86080b" ] } ], "mendeley" : { "formattedCitation" : "(Qu et al. 2006; Rosenholm and Lind\u00e9n 2008; Vallet-Reg\u00ed, Balas, and Arcos 2007)", "plainTextFormattedCitation" : "(Qu et al. 2006; Rosenholm and Lind\u00e9n 2008; Vallet-Reg\u00ed, Balas, and Arcos 2007)", "previouslyFormattedCitation" : "(Qu et al. 2006; Rosenholm and Lind\u00e9n 2008; Vallet-Reg\u00ed, Balas, and Arcos 2007)" }, "properties" : { "noteIndex" : 0 }, "schema" : "https://github.com/citation-style-language/schema/raw/master/csl-citation.json" }</w:instrText>
      </w:r>
      <w:r w:rsidR="00C43AC2" w:rsidRPr="00A20D29">
        <w:rPr>
          <w:lang w:val="es-ES"/>
        </w:rPr>
        <w:fldChar w:fldCharType="separate"/>
      </w:r>
      <w:r w:rsidR="006923CB" w:rsidRPr="00F83064">
        <w:rPr>
          <w:noProof/>
          <w:lang w:val="fr-FR"/>
        </w:rPr>
        <w:t xml:space="preserve">(Qu et al. 2006; Rosenholm </w:t>
      </w:r>
      <w:r w:rsidR="00F83064" w:rsidRPr="00F83064">
        <w:rPr>
          <w:noProof/>
          <w:lang w:val="fr-FR"/>
        </w:rPr>
        <w:t>y</w:t>
      </w:r>
      <w:r w:rsidR="006923CB" w:rsidRPr="00F83064">
        <w:rPr>
          <w:noProof/>
          <w:lang w:val="fr-FR"/>
        </w:rPr>
        <w:t xml:space="preserve"> Lindén 2008; Vallet-Regí</w:t>
      </w:r>
      <w:r w:rsidR="00F83064" w:rsidRPr="00F83064">
        <w:rPr>
          <w:noProof/>
          <w:lang w:val="fr-FR"/>
        </w:rPr>
        <w:t xml:space="preserve"> et al.</w:t>
      </w:r>
      <w:r w:rsidR="006923CB" w:rsidRPr="00F83064">
        <w:rPr>
          <w:noProof/>
          <w:lang w:val="fr-FR"/>
        </w:rPr>
        <w:t xml:space="preserve"> 2007)</w:t>
      </w:r>
      <w:r w:rsidR="00C43AC2" w:rsidRPr="00A20D29">
        <w:rPr>
          <w:lang w:val="es-ES"/>
        </w:rPr>
        <w:fldChar w:fldCharType="end"/>
      </w:r>
      <w:r w:rsidR="00C43AC2" w:rsidRPr="00F83064">
        <w:rPr>
          <w:lang w:val="fr-FR"/>
        </w:rPr>
        <w:t xml:space="preserve">. </w:t>
      </w:r>
      <w:r w:rsidR="00C43AC2" w:rsidRPr="00A20D29">
        <w:rPr>
          <w:lang w:val="es-ES"/>
        </w:rPr>
        <w:t>Sin</w:t>
      </w:r>
      <w:r w:rsidR="00C43AC2" w:rsidRPr="00BB5CE9">
        <w:rPr>
          <w:lang w:val="es-ES"/>
        </w:rPr>
        <w:t xml:space="preserve"> embargo sin los ensamblados tipo puerta presenta una cinética simple de liberación mientras que con ellos se puede</w:t>
      </w:r>
      <w:r w:rsidR="005C367B">
        <w:rPr>
          <w:lang w:val="es-ES"/>
        </w:rPr>
        <w:t>,</w:t>
      </w:r>
      <w:r w:rsidR="00C43AC2" w:rsidRPr="00BB5CE9">
        <w:rPr>
          <w:lang w:val="es-ES"/>
        </w:rPr>
        <w:t xml:space="preserve"> a priori</w:t>
      </w:r>
      <w:r w:rsidR="005C367B">
        <w:rPr>
          <w:lang w:val="es-ES"/>
        </w:rPr>
        <w:t>,</w:t>
      </w:r>
      <w:r w:rsidR="00C43AC2" w:rsidRPr="00BB5CE9">
        <w:rPr>
          <w:lang w:val="es-ES"/>
        </w:rPr>
        <w:t xml:space="preserve"> controlar la liberación en condiciones específicas.</w:t>
      </w:r>
    </w:p>
    <w:p w:rsidR="00334117" w:rsidRDefault="00334117" w:rsidP="00234195">
      <w:pPr>
        <w:spacing w:after="0" w:line="240" w:lineRule="auto"/>
        <w:rPr>
          <w:lang w:val="es-ES"/>
        </w:rPr>
      </w:pPr>
      <w:r w:rsidRPr="00BB5CE9">
        <w:rPr>
          <w:lang w:val="es-ES"/>
        </w:rPr>
        <w:t>Con el fin de aprovechar l</w:t>
      </w:r>
      <w:r w:rsidR="00C95AAB" w:rsidRPr="00BB5CE9">
        <w:rPr>
          <w:lang w:val="es-ES"/>
        </w:rPr>
        <w:t>as características de estos materiales</w:t>
      </w:r>
      <w:r w:rsidR="005C367B">
        <w:rPr>
          <w:lang w:val="es-ES"/>
        </w:rPr>
        <w:t xml:space="preserve"> y dado el</w:t>
      </w:r>
      <w:r w:rsidRPr="00BB5CE9">
        <w:rPr>
          <w:lang w:val="es-ES"/>
        </w:rPr>
        <w:t xml:space="preserve"> potencial antimicrobiano de los compuestos presentes en el ajo</w:t>
      </w:r>
      <w:r w:rsidR="005C367B">
        <w:rPr>
          <w:lang w:val="es-ES"/>
        </w:rPr>
        <w:t>,</w:t>
      </w:r>
      <w:r w:rsidRPr="00BB5CE9">
        <w:rPr>
          <w:lang w:val="es-ES"/>
        </w:rPr>
        <w:t xml:space="preserve"> se propone encapsular el dialil disulfuro empleando un sistema de liberación basado en </w:t>
      </w:r>
      <w:r w:rsidRPr="00BB5CE9">
        <w:rPr>
          <w:lang w:val="es-ES"/>
        </w:rPr>
        <w:lastRenderedPageBreak/>
        <w:t xml:space="preserve">materiales mesoporosos de sílice. El objetivo del proyecto es optimizar el sistema de cargado y liberación del dialil disulfuro a la vez que se evalúa su </w:t>
      </w:r>
      <w:r w:rsidR="00F276F4" w:rsidRPr="00BB5CE9">
        <w:rPr>
          <w:lang w:val="es-ES"/>
        </w:rPr>
        <w:t xml:space="preserve">estabilidad como agente biocida frente a una cepa de </w:t>
      </w:r>
      <w:r w:rsidR="00F276F4" w:rsidRPr="00BB5CE9">
        <w:rPr>
          <w:i/>
          <w:lang w:val="es-ES"/>
        </w:rPr>
        <w:t>E. coli</w:t>
      </w:r>
      <w:r w:rsidR="00F276F4" w:rsidRPr="00BB5CE9">
        <w:rPr>
          <w:lang w:val="es-ES"/>
        </w:rPr>
        <w:t>.</w:t>
      </w:r>
      <w:r w:rsidRPr="00BB5CE9">
        <w:rPr>
          <w:lang w:val="es-ES"/>
        </w:rPr>
        <w:t xml:space="preserve"> </w:t>
      </w:r>
    </w:p>
    <w:p w:rsidR="009531E1" w:rsidRDefault="009531E1" w:rsidP="005A6063">
      <w:pPr>
        <w:pStyle w:val="Heading1"/>
        <w:rPr>
          <w:lang w:val="es-ES"/>
        </w:rPr>
      </w:pPr>
      <w:bookmarkStart w:id="11" w:name="_Toc429397051"/>
      <w:r w:rsidRPr="001527C0">
        <w:rPr>
          <w:lang w:val="es-ES"/>
        </w:rPr>
        <w:t>MATERIALES Y MÉTODOS</w:t>
      </w:r>
      <w:bookmarkEnd w:id="11"/>
    </w:p>
    <w:p w:rsidR="0002314D" w:rsidRDefault="0002314D" w:rsidP="00234195">
      <w:pPr>
        <w:spacing w:after="0" w:line="240" w:lineRule="auto"/>
        <w:rPr>
          <w:lang w:val="es-ES_tradnl"/>
        </w:rPr>
      </w:pPr>
    </w:p>
    <w:p w:rsidR="009531E1" w:rsidRDefault="009531E1" w:rsidP="00234195">
      <w:pPr>
        <w:spacing w:after="0" w:line="240" w:lineRule="auto"/>
        <w:rPr>
          <w:lang w:val="es-ES"/>
        </w:rPr>
      </w:pPr>
      <w:r w:rsidRPr="009C70C4">
        <w:rPr>
          <w:lang w:val="es-ES_tradnl"/>
        </w:rPr>
        <w:t xml:space="preserve">Todos los productos fueron </w:t>
      </w:r>
      <w:r w:rsidRPr="009C70C4">
        <w:rPr>
          <w:lang w:val="es-ES"/>
        </w:rPr>
        <w:t>usados directamente sin la aplicación de ningún tipo de purificación. Los compuestos Dial</w:t>
      </w:r>
      <w:r>
        <w:rPr>
          <w:lang w:val="es-ES"/>
        </w:rPr>
        <w:t>i</w:t>
      </w:r>
      <w:r w:rsidRPr="009C70C4">
        <w:rPr>
          <w:lang w:val="es-ES"/>
        </w:rPr>
        <w:t>ldisulf</w:t>
      </w:r>
      <w:r>
        <w:rPr>
          <w:lang w:val="es-ES"/>
        </w:rPr>
        <w:t>uro</w:t>
      </w:r>
      <w:r w:rsidRPr="009C70C4">
        <w:rPr>
          <w:lang w:val="es-ES"/>
        </w:rPr>
        <w:t xml:space="preserve"> (Tech., 80%), ortosilicato de tetraetilo (TEOS), n-bromuro de cetiltrimetilamonio (CTAB), hidróxido de sodio, trietanolamina (TEAH3),</w:t>
      </w:r>
      <w:r>
        <w:rPr>
          <w:lang w:val="es-ES"/>
        </w:rPr>
        <w:t xml:space="preserve"> y 3-aminopropiltrietoxisilano, 3</w:t>
      </w:r>
      <w:r w:rsidRPr="009C70C4">
        <w:rPr>
          <w:lang w:val="es-ES"/>
        </w:rPr>
        <w:t>-[2-</w:t>
      </w:r>
      <w:r>
        <w:rPr>
          <w:lang w:val="es-ES"/>
        </w:rPr>
        <w:t>(2-aminoetilamino)etilamino]</w:t>
      </w:r>
      <w:r w:rsidRPr="009C70C4">
        <w:rPr>
          <w:lang w:val="es-ES"/>
        </w:rPr>
        <w:t>-propil-trimetoxisilano, fueron proporcionados por la marca Aldrich.</w:t>
      </w:r>
    </w:p>
    <w:p w:rsidR="00C42776" w:rsidRDefault="00C42776" w:rsidP="00234195">
      <w:pPr>
        <w:spacing w:after="0" w:line="240" w:lineRule="auto"/>
        <w:rPr>
          <w:lang w:val="es-ES"/>
        </w:rPr>
      </w:pPr>
      <w:r>
        <w:rPr>
          <w:lang w:val="es-ES"/>
        </w:rPr>
        <w:t xml:space="preserve">Se empleó la cepa </w:t>
      </w:r>
      <w:r w:rsidRPr="00BF4FE2">
        <w:rPr>
          <w:i/>
          <w:lang w:val="es-ES"/>
        </w:rPr>
        <w:t>E. Coli K12</w:t>
      </w:r>
      <w:r>
        <w:rPr>
          <w:lang w:val="es-ES"/>
        </w:rPr>
        <w:t xml:space="preserve"> suministrada por la Colección Española De Cultivos Tipo (CECT) y se reconstituyó siguiendo las instrucciones dadas por la CECT. </w:t>
      </w:r>
      <w:r w:rsidR="00BF4FE2">
        <w:rPr>
          <w:lang w:val="es-ES"/>
        </w:rPr>
        <w:t>En las cepas microbianas y la preparación de inóculos</w:t>
      </w:r>
      <w:r w:rsidR="0002314D">
        <w:rPr>
          <w:lang w:val="es-ES"/>
        </w:rPr>
        <w:t xml:space="preserve"> se utilizaron medios generales:</w:t>
      </w:r>
      <w:r w:rsidR="00BF4FE2">
        <w:rPr>
          <w:lang w:val="es-ES"/>
        </w:rPr>
        <w:t xml:space="preserve"> </w:t>
      </w:r>
      <w:r w:rsidR="00BF4FE2" w:rsidRPr="00C42776">
        <w:rPr>
          <w:i/>
          <w:lang w:val="es-ES"/>
        </w:rPr>
        <w:t>Plate Count Agar</w:t>
      </w:r>
      <w:r w:rsidR="00BF4FE2">
        <w:rPr>
          <w:lang w:val="es-ES"/>
        </w:rPr>
        <w:t xml:space="preserve"> (PCA) y </w:t>
      </w:r>
      <w:r w:rsidR="00BF4FE2" w:rsidRPr="00C42776">
        <w:rPr>
          <w:i/>
          <w:lang w:val="es-ES"/>
        </w:rPr>
        <w:t>Triptic Soy Broth</w:t>
      </w:r>
      <w:r w:rsidR="00BF4FE2">
        <w:rPr>
          <w:lang w:val="es-ES"/>
        </w:rPr>
        <w:t xml:space="preserve"> (TSB). Como medio selectivo se empleó </w:t>
      </w:r>
      <w:r w:rsidR="00BF4FE2" w:rsidRPr="00C42776">
        <w:rPr>
          <w:i/>
          <w:lang w:val="es-ES"/>
        </w:rPr>
        <w:t>Tryptone Bile x-glucoronide</w:t>
      </w:r>
      <w:r w:rsidR="00BF4FE2">
        <w:rPr>
          <w:lang w:val="es-ES"/>
        </w:rPr>
        <w:t xml:space="preserve"> (TBX) agar. Todos los medios de cultivo fueron suministrados por Scharlau S.A. </w:t>
      </w:r>
    </w:p>
    <w:p w:rsidR="00ED0AAE" w:rsidRDefault="009531E1" w:rsidP="00234195">
      <w:pPr>
        <w:spacing w:after="0" w:line="240" w:lineRule="auto"/>
        <w:rPr>
          <w:lang w:val="es-ES"/>
        </w:rPr>
      </w:pPr>
      <w:r w:rsidRPr="009C70C4">
        <w:rPr>
          <w:lang w:val="es-ES"/>
        </w:rPr>
        <w:t>La caracterización de los m</w:t>
      </w:r>
      <w:r>
        <w:rPr>
          <w:lang w:val="es-ES"/>
        </w:rPr>
        <w:t xml:space="preserve">ateriales se hizo por Difracción de Rayos X, Microscopía electrónica de transmisión (TEM) y análisis termogravimétrico TGA. </w:t>
      </w:r>
      <w:r w:rsidRPr="008131D0">
        <w:rPr>
          <w:lang w:val="es-ES"/>
        </w:rPr>
        <w:t>La difracción de rayos X, se realizó en u</w:t>
      </w:r>
      <w:r>
        <w:rPr>
          <w:lang w:val="es-ES"/>
        </w:rPr>
        <w:t>n</w:t>
      </w:r>
      <w:r w:rsidRPr="008131D0">
        <w:rPr>
          <w:lang w:val="es-ES"/>
        </w:rPr>
        <w:t xml:space="preserve"> difractometro Seifert 3000TT, usando radiación alfa Cu K. Los análisis termogravimétricos se realizaron, en  TGA/SDTA 851e Mettler Toledo, usando una atm</w:t>
      </w:r>
      <w:r>
        <w:rPr>
          <w:lang w:val="es-ES"/>
        </w:rPr>
        <w:t>ó</w:t>
      </w:r>
      <w:r w:rsidRPr="008131D0">
        <w:rPr>
          <w:lang w:val="es-ES"/>
        </w:rPr>
        <w:t>sfera oxidante (aire, 80 mL/min) con un programa de calentamiento de 393 a 1273K</w:t>
      </w:r>
      <w:r>
        <w:rPr>
          <w:lang w:val="es-ES"/>
        </w:rPr>
        <w:t xml:space="preserve"> y</w:t>
      </w:r>
      <w:r w:rsidRPr="008131D0">
        <w:rPr>
          <w:lang w:val="es-ES"/>
        </w:rPr>
        <w:t xml:space="preserve"> una rampa de 10 ºC/min. </w:t>
      </w:r>
    </w:p>
    <w:p w:rsidR="009531E1" w:rsidRDefault="009531E1" w:rsidP="00234195">
      <w:pPr>
        <w:spacing w:after="0" w:line="240" w:lineRule="auto"/>
        <w:rPr>
          <w:lang w:val="es-ES"/>
        </w:rPr>
      </w:pPr>
      <w:r>
        <w:rPr>
          <w:lang w:val="es-ES"/>
        </w:rPr>
        <w:t>Finalmente</w:t>
      </w:r>
      <w:r w:rsidR="0002314D">
        <w:rPr>
          <w:lang w:val="es-ES"/>
        </w:rPr>
        <w:t>,</w:t>
      </w:r>
      <w:r>
        <w:rPr>
          <w:lang w:val="es-ES"/>
        </w:rPr>
        <w:t xml:space="preserve"> el estudio de carga y liberación se monitorizó mediante cromatografía líquida de alta presión empleando un cromatógrafo </w:t>
      </w:r>
      <w:r w:rsidR="00340644">
        <w:rPr>
          <w:lang w:val="es-ES"/>
        </w:rPr>
        <w:t>Lachrom Ultra</w:t>
      </w:r>
      <w:r w:rsidR="00C42776">
        <w:rPr>
          <w:lang w:val="es-ES"/>
        </w:rPr>
        <w:t xml:space="preserve"> y una columna Kromophase C18</w:t>
      </w:r>
      <w:r w:rsidR="00ED0AAE">
        <w:rPr>
          <w:lang w:val="es-ES"/>
        </w:rPr>
        <w:t>.</w:t>
      </w:r>
    </w:p>
    <w:p w:rsidR="00ED0AAE" w:rsidRDefault="00ED0AAE" w:rsidP="00234195">
      <w:pPr>
        <w:spacing w:after="0" w:line="240" w:lineRule="auto"/>
        <w:rPr>
          <w:lang w:val="es-ES"/>
        </w:rPr>
      </w:pPr>
    </w:p>
    <w:p w:rsidR="00BB5CE9" w:rsidRDefault="00BB5CE9" w:rsidP="00234195">
      <w:pPr>
        <w:spacing w:after="0" w:line="240" w:lineRule="auto"/>
        <w:rPr>
          <w:lang w:val="es-ES"/>
        </w:rPr>
      </w:pPr>
    </w:p>
    <w:p w:rsidR="009531E1" w:rsidRDefault="009531E1" w:rsidP="005A6063">
      <w:pPr>
        <w:pStyle w:val="Heading2"/>
      </w:pPr>
      <w:bookmarkStart w:id="12" w:name="_Toc397538618"/>
      <w:bookmarkStart w:id="13" w:name="_Toc428350202"/>
      <w:bookmarkStart w:id="14" w:name="_Toc428350259"/>
      <w:bookmarkStart w:id="15" w:name="_Toc429397052"/>
      <w:r w:rsidRPr="005A6063">
        <w:t>Síntesis</w:t>
      </w:r>
      <w:r w:rsidRPr="00CE419F">
        <w:t xml:space="preserve"> de los sistemas de encapsulación</w:t>
      </w:r>
      <w:bookmarkEnd w:id="12"/>
      <w:bookmarkEnd w:id="13"/>
      <w:bookmarkEnd w:id="14"/>
      <w:bookmarkEnd w:id="15"/>
    </w:p>
    <w:p w:rsidR="00CE419F" w:rsidRDefault="009531E1" w:rsidP="005A6063">
      <w:pPr>
        <w:pStyle w:val="Heading3"/>
      </w:pPr>
      <w:bookmarkStart w:id="16" w:name="_Toc428350203"/>
      <w:bookmarkStart w:id="17" w:name="_Toc428350260"/>
      <w:bookmarkStart w:id="18" w:name="_Toc429397053"/>
      <w:r w:rsidRPr="00CE419F">
        <w:t xml:space="preserve">Soporte </w:t>
      </w:r>
      <w:r w:rsidRPr="005A6063">
        <w:t>mesoporoso</w:t>
      </w:r>
      <w:r w:rsidRPr="00CE419F">
        <w:t xml:space="preserve"> </w:t>
      </w:r>
      <w:r w:rsidRPr="005A6063">
        <w:t>MCM</w:t>
      </w:r>
      <w:r w:rsidRPr="00CE419F">
        <w:t>-41 (M0</w:t>
      </w:r>
      <w:r w:rsidR="00CE419F">
        <w:t>)</w:t>
      </w:r>
      <w:bookmarkEnd w:id="16"/>
      <w:bookmarkEnd w:id="17"/>
      <w:bookmarkEnd w:id="18"/>
      <w:r w:rsidRPr="009C70C4">
        <w:t xml:space="preserve"> </w:t>
      </w:r>
    </w:p>
    <w:p w:rsidR="00CE419F" w:rsidRPr="004E05D6" w:rsidRDefault="009531E1" w:rsidP="00234195">
      <w:pPr>
        <w:spacing w:after="0" w:line="240" w:lineRule="auto"/>
        <w:rPr>
          <w:lang w:val="es-ES"/>
        </w:rPr>
      </w:pPr>
      <w:r w:rsidRPr="004E05D6">
        <w:rPr>
          <w:lang w:val="es-ES"/>
        </w:rPr>
        <w:t xml:space="preserve">Este sólido </w:t>
      </w:r>
      <w:r w:rsidRPr="009C70C4">
        <w:rPr>
          <w:rStyle w:val="hps"/>
          <w:rFonts w:eastAsia="Times New Roman" w:cs="Arial"/>
          <w:szCs w:val="24"/>
          <w:lang w:val="es-ES"/>
        </w:rPr>
        <w:t>se sintetizó</w:t>
      </w:r>
      <w:r w:rsidRPr="004E05D6">
        <w:rPr>
          <w:lang w:val="es-ES"/>
        </w:rPr>
        <w:t xml:space="preserve"> </w:t>
      </w:r>
      <w:r w:rsidRPr="009C70C4">
        <w:rPr>
          <w:rStyle w:val="hps"/>
          <w:rFonts w:eastAsia="Times New Roman" w:cs="Arial"/>
          <w:szCs w:val="24"/>
          <w:lang w:val="es-ES"/>
        </w:rPr>
        <w:t>a través de la "</w:t>
      </w:r>
      <w:r w:rsidRPr="004E05D6">
        <w:rPr>
          <w:lang w:val="es-ES"/>
        </w:rPr>
        <w:t xml:space="preserve">ruta de los </w:t>
      </w:r>
      <w:r w:rsidRPr="009C70C4">
        <w:rPr>
          <w:rStyle w:val="hps"/>
          <w:rFonts w:eastAsia="Times New Roman" w:cs="Arial"/>
          <w:szCs w:val="24"/>
          <w:lang w:val="es-ES"/>
        </w:rPr>
        <w:t>atranos</w:t>
      </w:r>
      <w:r w:rsidRPr="004E05D6">
        <w:rPr>
          <w:lang w:val="es-ES"/>
        </w:rPr>
        <w:t xml:space="preserve">" </w:t>
      </w:r>
      <w:r w:rsidR="00482127">
        <w:fldChar w:fldCharType="begin" w:fldLock="1"/>
      </w:r>
      <w:r w:rsidRPr="004E05D6">
        <w:rPr>
          <w:lang w:val="es-ES"/>
        </w:rPr>
        <w:instrText>ADDIN CSL_CITATION { "citationItems" : [ { "id" : "ITEM-1", "itemData" : { "DOI" : "10.1016/S1293-2558(00)00152-7", "ISBN" : "3496398361", "ISSN" : "12932558", "abstract" : "A new simple and versatile technique to obtain mesoporous oxides is presented. While implying surfactant-assisted formation of mesostructured intermediates, the original chemical contribution of this approach lies in the use of atrane complexes as precursors. Without prejudice to their inherent unstability in aqueous solution, the atranes show a marked inertness towards hydrolysis. Bringing kinetic factors into play, it becomes possible to control the processes involved in the formation of the surfactant-inorganic phase composite micelles, which constitute the elemental building blocks of the mesostructures. Independent of the starting compositional complexity, both the mesostructured intermediates and the final mesoporous materials are chemically homogeneous. The final ordered mesoporous materials are thermally stable and show unimodal porosity, as well as homogeneous microstructure and texture. Examples of materials synthesised on account of the versatility of this new method, including siliceous, non siliceous and mixed oxides, are presented and discussed. (C) 2000 Editions scientifiques et medicales Elsevier SAS.", "author" : [ { "dropping-particle" : "", "family" : "Cabrera", "given" : "Sa\u00fal", "non-dropping-particle" : "", "parse-names" : false, "suffix" : "" }, { "dropping-particle" : "", "family" : "Haskouri", "given" : "Jamal", "non-dropping-particle" : "El", "parse-names" : false, "suffix" : "" }, { "dropping-particle" : "", "family" : "Guillem", "given" : "Carmen", "non-dropping-particle" : "", "parse-names" : false, "suffix" : "" }, { "dropping-particle" : "", "family" : "Latorre", "given" : "Julio", "non-dropping-particle" : "", "parse-names" : false, "suffix" : "" }, { "dropping-particle" : "", "family" : "Beltr\u00e1n-Porter", "given" : "Aurelio", "non-dropping-particle" : "", "parse-names" : false, "suffix" : "" }, { "dropping-particle" : "", "family" : "Beltr\u00e1n-Porter", "given" : "Daniel", "non-dropping-particle" : "", "parse-names" : false, "suffix" : "" }, { "dropping-particle" : "", "family" : "Marcos", "given" : "M. D.", "non-dropping-particle" : "", "parse-names" : false, "suffix" : "" }, { "dropping-particle" : "", "family" : "Amor\u00f3s", "given" : "Pedro", "non-dropping-particle" : "", "parse-names" : false, "suffix" : "" } ], "container-title" : "Solid State Sciences", "id" : "ITEM-1", "issue" : "4", "issued" : { "date-parts" : [ [ "2000" ] ] }, "page" : "405-420", "title" : "Generalised syntheses of ordered mesoporous oxides: The atrane route", "type" : "article-journal", "volume" : "2" }, "uris" : [ "http://www.mendeley.com/documents/?uuid=4b4caba7-b682-4281-883e-cbee3e1242bb" ] } ], "mendeley" : { "formattedCitation" : "(Cabrera et al. 2000)", "plainTextFormattedCitation" : "(Cabrera et al. 2000)", "previouslyFormattedCitation" : "(Cabrera et al. 2000)" }, "properties" : { "noteIndex" : 0 }, "schema" : "https://github.com/citation-style-language/schema/raw/master/csl-citation.json" }</w:instrText>
      </w:r>
      <w:r w:rsidR="00482127">
        <w:fldChar w:fldCharType="separate"/>
      </w:r>
      <w:r w:rsidRPr="004E05D6">
        <w:rPr>
          <w:noProof/>
          <w:lang w:val="es-ES"/>
        </w:rPr>
        <w:t>(Cabrera et al. 2000)</w:t>
      </w:r>
      <w:r w:rsidR="00482127">
        <w:fldChar w:fldCharType="end"/>
      </w:r>
      <w:r w:rsidRPr="004E05D6">
        <w:rPr>
          <w:lang w:val="es-ES"/>
        </w:rPr>
        <w:t xml:space="preserve"> un método basado en el uso de ligandos relacionados con </w:t>
      </w:r>
      <w:r w:rsidR="005D3DDD">
        <w:rPr>
          <w:lang w:val="es-ES"/>
        </w:rPr>
        <w:t xml:space="preserve">la </w:t>
      </w:r>
      <w:r w:rsidRPr="004E05D6">
        <w:rPr>
          <w:lang w:val="es-ES"/>
        </w:rPr>
        <w:t>trietanolamina (</w:t>
      </w:r>
      <w:r w:rsidR="0002314D">
        <w:rPr>
          <w:lang w:val="es-ES"/>
        </w:rPr>
        <w:t>TEAH 3) (generalmente “atranos”</w:t>
      </w:r>
      <w:r w:rsidRPr="004E05D6">
        <w:rPr>
          <w:lang w:val="es-ES"/>
        </w:rPr>
        <w:t xml:space="preserve"> y “silatranos” por su contenido de complejos de silicona) como precursores hidrolíticos inorgánicos y surfactantes como especie porógena. La relación molar de los reactivos es, 8TEAH:2TEOS:0.52CTAB:0.5NaOH:180H2O. </w:t>
      </w:r>
    </w:p>
    <w:p w:rsidR="00344E28" w:rsidRDefault="009531E1" w:rsidP="00234195">
      <w:pPr>
        <w:spacing w:after="0" w:line="240" w:lineRule="auto"/>
        <w:rPr>
          <w:rStyle w:val="hps"/>
          <w:rFonts w:eastAsia="Times New Roman" w:cs="Arial"/>
          <w:szCs w:val="24"/>
          <w:lang w:val="es-ES"/>
        </w:rPr>
      </w:pPr>
      <w:r w:rsidRPr="00CE419F">
        <w:rPr>
          <w:lang w:val="es-ES"/>
        </w:rPr>
        <w:t xml:space="preserve">Para la síntesis de las partículas, se añadieron 4.68 g de CTAB a 118 °C a una solución de TEAH 3 (25.79 g) que contenía 0.045 mol de derivado de silatrano (e.g. 11 mL de TEOS se añadió a 70 °C al TEA, e.g., en forma de Si(TEA)(TEAH 2 ), donde TEA es el ligando completamente desprotonado). </w:t>
      </w:r>
      <w:r w:rsidRPr="004E05D6">
        <w:rPr>
          <w:lang w:val="es-ES"/>
        </w:rPr>
        <w:t xml:space="preserve">A continuación,  se añadieron lentamente 80 mL de agua bajo agitación intensa a 70 °C. Esta mezcla se envejeció durante la noche a temperatura ambiente. El sólido resultante fue recolectado por filtración y lavado con agua y etanol. </w:t>
      </w:r>
      <w:r w:rsidRPr="00C443E5">
        <w:rPr>
          <w:lang w:val="es-ES"/>
        </w:rPr>
        <w:t>Finalmente</w:t>
      </w:r>
      <w:r w:rsidR="0002314D">
        <w:rPr>
          <w:lang w:val="es-ES"/>
        </w:rPr>
        <w:t>,</w:t>
      </w:r>
      <w:r w:rsidRPr="00C443E5">
        <w:rPr>
          <w:lang w:val="es-ES"/>
        </w:rPr>
        <w:t xml:space="preserve"> el sólido se secó a 70 °C. Para terminar de preparar el material </w:t>
      </w:r>
      <w:r w:rsidRPr="00C443E5">
        <w:rPr>
          <w:lang w:val="es-ES"/>
        </w:rPr>
        <w:lastRenderedPageBreak/>
        <w:t>poroso (M0), el sólido fue calcinado a 550 °C en atmósfera oxidante durante 5h con el objetivo de eliminar el surfactante (CTAB).</w:t>
      </w:r>
      <w:r w:rsidRPr="00FA7298">
        <w:rPr>
          <w:rStyle w:val="hps"/>
          <w:rFonts w:eastAsia="Times New Roman" w:cs="Arial"/>
          <w:szCs w:val="24"/>
          <w:lang w:val="es-ES"/>
        </w:rPr>
        <w:t xml:space="preserve"> </w:t>
      </w:r>
    </w:p>
    <w:p w:rsidR="00BB5CE9" w:rsidRPr="00FA7298" w:rsidRDefault="00BB5CE9" w:rsidP="00234195">
      <w:pPr>
        <w:spacing w:after="0" w:line="240" w:lineRule="auto"/>
        <w:rPr>
          <w:rStyle w:val="hps"/>
          <w:rFonts w:eastAsia="Times New Roman" w:cs="Arial"/>
          <w:szCs w:val="24"/>
          <w:lang w:val="es-ES"/>
        </w:rPr>
      </w:pPr>
    </w:p>
    <w:p w:rsidR="009531E1" w:rsidRDefault="009531E1" w:rsidP="005A6063">
      <w:pPr>
        <w:pStyle w:val="Heading3"/>
        <w:rPr>
          <w:rStyle w:val="hps"/>
        </w:rPr>
      </w:pPr>
      <w:bookmarkStart w:id="19" w:name="_Toc428350204"/>
      <w:bookmarkStart w:id="20" w:name="_Toc428350261"/>
      <w:bookmarkStart w:id="21" w:name="_Toc429397054"/>
      <w:r w:rsidRPr="0061155C">
        <w:rPr>
          <w:rStyle w:val="hps"/>
        </w:rPr>
        <w:t>Soporte</w:t>
      </w:r>
      <w:r w:rsidRPr="0061155C">
        <w:t xml:space="preserve"> </w:t>
      </w:r>
      <w:r w:rsidRPr="005A6063">
        <w:rPr>
          <w:rStyle w:val="hps"/>
        </w:rPr>
        <w:t>mesoporoso</w:t>
      </w:r>
      <w:r w:rsidRPr="0061155C">
        <w:t xml:space="preserve"> </w:t>
      </w:r>
      <w:r w:rsidRPr="0061155C">
        <w:rPr>
          <w:rStyle w:val="hps"/>
        </w:rPr>
        <w:t>SBA-15 (</w:t>
      </w:r>
      <w:r w:rsidRPr="00F94747">
        <w:rPr>
          <w:rStyle w:val="hps"/>
        </w:rPr>
        <w:t>S0</w:t>
      </w:r>
      <w:r w:rsidRPr="0061155C">
        <w:rPr>
          <w:rStyle w:val="hps"/>
        </w:rPr>
        <w:t>)</w:t>
      </w:r>
      <w:bookmarkEnd w:id="19"/>
      <w:bookmarkEnd w:id="20"/>
      <w:bookmarkEnd w:id="21"/>
    </w:p>
    <w:p w:rsidR="009531E1" w:rsidRPr="004738A4" w:rsidRDefault="009531E1" w:rsidP="00234195">
      <w:pPr>
        <w:spacing w:after="0" w:line="240" w:lineRule="auto"/>
        <w:rPr>
          <w:rFonts w:eastAsia="Times New Roman"/>
          <w:lang w:val="es-ES"/>
        </w:rPr>
      </w:pPr>
      <w:r w:rsidRPr="004738A4">
        <w:rPr>
          <w:rFonts w:eastAsia="Times New Roman"/>
          <w:lang w:val="es-ES"/>
        </w:rPr>
        <w:t xml:space="preserve">Las partículas SBA-15 (S0) se sintetizaron siguiendo </w:t>
      </w:r>
      <w:r>
        <w:rPr>
          <w:rFonts w:eastAsia="Times New Roman"/>
          <w:lang w:val="es-ES"/>
        </w:rPr>
        <w:t>un</w:t>
      </w:r>
      <w:r w:rsidRPr="004738A4">
        <w:rPr>
          <w:rFonts w:eastAsia="Times New Roman"/>
          <w:lang w:val="es-ES"/>
        </w:rPr>
        <w:t xml:space="preserve"> m</w:t>
      </w:r>
      <w:r>
        <w:rPr>
          <w:rFonts w:eastAsia="Times New Roman"/>
          <w:lang w:val="es-ES"/>
        </w:rPr>
        <w:t xml:space="preserve">étodo ya descrito </w:t>
      </w:r>
      <w:r w:rsidR="00482127">
        <w:rPr>
          <w:rFonts w:eastAsia="Times New Roman"/>
          <w:lang w:val="es-ES"/>
        </w:rPr>
        <w:fldChar w:fldCharType="begin" w:fldLock="1"/>
      </w:r>
      <w:r w:rsidR="00032E48">
        <w:rPr>
          <w:rFonts w:eastAsia="Times New Roman"/>
          <w:lang w:val="es-ES"/>
        </w:rPr>
        <w:instrText>ADDIN CSL_CITATION { "citationItems" : [ { "id" : "ITEM-1", "itemData" : { "abstract" : "A family of mesoporous (20-300 .ANG.) silica structures have been synthesized by the use of com. available nonionic alkyl poly(ethylene oxide) (PEO) oligomeric surfactants and poly(oxyalkylene) block copolymers in acid media.  The pore structures are highly ordered, and the phases identified in this family include cubic Im.hivin.3m, cubic Pm.hivin.3m (or others), 3-d hexagonal (P63/mmc), 2-d hexagonal (P6mm), continuous sponge L3 phase, and lamellar (La) periodic symmetries.  Under acidic conditions at room temp., the nonionic oligomeric surfactants generally form cubic mesoporous silica structures, while the triblock copolymers form hexagonal (P6mm) mesoporous silica structures.  A cubic mesoporous silica structure (SBA-11) with Pm.hivin.3m diffraction symmetry has been synthesized in the presence of C16H33(OCH2CH2)10OH (C16EO10) surfactant species, while a 3-d hexagonal (P63/mmc) mesoporous silica structure (SBA-12) results when C18EO10 is used.  Tetrablocks of EO groups in an alkyl nonionic surfactant can be used to form a cubic mesoporous silica structure (SBA-13).  Surfactants with short PEO segments tend to form lamellar mesostructured silica.  Hexagonal mesoporous silica structures with d(100) spacings of 64-77 .ANG. can be synthesized at 100 \ufffdC by using oligomeric nonionic surfactants.  Highly ordered hexagonal mesoporous silica structures (SBA-15) with unusually large d(100) spacings of 104-320 .ANG. have been synthesized in the presence of triblock poly(ethylene oxide)-poly(propylene oxide)-poly(ethylene oxide) (PEO-PPO-PEO) copolymers.  SBA-15 mesoporous structures have BET surface areas of 690-1040 m2/g, pore sizes of 46-300 .ANG., silica wall thicknesses of 31-64 .ANG., and pore vols. as large as 2.5 cm3/g.  A novel cubic (Im.hivin.3m) cage-structured mesoporous silica structure (SBA-16) with a large cell parameter (a = 176 .ANG.) has been synthesized using block copolymers with large PEO segments.  The EO/PO ratio of the copolymers can be used to control the formation of the silica mesophase: lowering this ratio of the copolymers promotes the formation of lamellar mesostructured silica, while higher ratios favor cubic mesostructured silica.  The calcined ordered mesoporous silica reported in this paper are thermally stable in boiling water for at least 48 h.  The assembly of the inorg. and org. periodic composite materials appears to take place by a hydrogen bonding (S0 H+)(X-I+) pathway.  The assembly rate r increases with increasing conc\u2026", "author" : [ { "dropping-particle" : "", "family" : "Zhao", "given" : "Dongyuan", "non-dropping-particle" : "", "parse-names" : false, "suffix" : "" }, { "dropping-particle" : "", "family" : "Huo", "given" : "Qisheng", "non-dropping-particle" : "", "parse-names" : false, "suffix" : "" }, { "dropping-particle" : "", "family" : "Feng", "given" : "Jianglin", "non-dropping-particle" : "", "parse-names" : false, "suffix" : "" }, { "dropping-particle" : "", "family" : "Chmelka", "given" : "B F", "non-dropping-particle" : "", "parse-names" : false, "suffix" : "" }, { "dropping-particle" : "", "family" : "Stucky", "given" : "Galen D", "non-dropping-particle" : "", "parse-names" : false, "suffix" : "" } ], "container-title" : "J. Am. Chem. Soc.", "id" : "ITEM-1", "issue" : "24", "issued" : { "date-parts" : [ [ "1998" ] ] }, "page" : "6024-6036", "title" : "Tri-, Tetra-, and Octablock Copolymer and Nonionic Surfactant Syntheses of Highly Ordered, Hydrothermally Stable, Mesoporous Silica Structures", "type" : "article-journal", "volume" : "120" }, "uris" : [ "http://www.mendeley.com/documents/?uuid=754b66fa-3d26-4981-ba05-d9c18022d037" ] } ], "mendeley" : { "formattedCitation" : "(Zhao et al. 1998)", "plainTextFormattedCitation" : "(Zhao et al. 1998)", "previouslyFormattedCitation" : "(Zhao et al. 1998)" }, "properties" : { "noteIndex" : 0 }, "schema" : "https://github.com/citation-style-language/schema/raw/master/csl-citation.json" }</w:instrText>
      </w:r>
      <w:r w:rsidR="00482127">
        <w:rPr>
          <w:rFonts w:eastAsia="Times New Roman"/>
          <w:lang w:val="es-ES"/>
        </w:rPr>
        <w:fldChar w:fldCharType="separate"/>
      </w:r>
      <w:r w:rsidRPr="000531FE">
        <w:rPr>
          <w:rFonts w:eastAsia="Times New Roman"/>
          <w:noProof/>
          <w:lang w:val="es-ES"/>
        </w:rPr>
        <w:t>(Zhao et al. 1998)</w:t>
      </w:r>
      <w:r w:rsidR="00482127">
        <w:rPr>
          <w:rFonts w:eastAsia="Times New Roman"/>
          <w:lang w:val="es-ES"/>
        </w:rPr>
        <w:fldChar w:fldCharType="end"/>
      </w:r>
      <w:r>
        <w:rPr>
          <w:rFonts w:eastAsia="Times New Roman"/>
          <w:lang w:val="es-ES"/>
        </w:rPr>
        <w:t>. Se utilizó P123 como soporte estructural. La relación molar de los reactivos se fijó a 0.017 P123:1.0 TEOS:6 HCl:196 H2O. La preparación se llevó a cabo mezclando una solución acuosa de P123 con una solución de HCl y agitando durante 2h, tras la cual la fuente de sílica, TEOS, fue añadida. La mezcla final se agitó durante otras 20h.</w:t>
      </w:r>
    </w:p>
    <w:p w:rsidR="00BB5CE9" w:rsidRPr="0061155C" w:rsidRDefault="00BB5CE9" w:rsidP="00234195">
      <w:pPr>
        <w:spacing w:after="0" w:line="240" w:lineRule="auto"/>
        <w:rPr>
          <w:rFonts w:eastAsia="Times New Roman"/>
          <w:lang w:val="es-ES"/>
        </w:rPr>
      </w:pPr>
    </w:p>
    <w:p w:rsidR="009531E1" w:rsidRDefault="009531E1" w:rsidP="005A6063">
      <w:pPr>
        <w:pStyle w:val="Heading2"/>
      </w:pPr>
      <w:bookmarkStart w:id="22" w:name="_Toc397538620"/>
      <w:bookmarkStart w:id="23" w:name="_Toc428350205"/>
      <w:bookmarkStart w:id="24" w:name="_Toc428350262"/>
      <w:bookmarkStart w:id="25" w:name="_Toc429397055"/>
      <w:r w:rsidRPr="00CE419F">
        <w:t xml:space="preserve">Encapsulado del </w:t>
      </w:r>
      <w:bookmarkEnd w:id="22"/>
      <w:r w:rsidR="00CE419F" w:rsidRPr="00CE419F">
        <w:t>DADS</w:t>
      </w:r>
      <w:bookmarkEnd w:id="23"/>
      <w:bookmarkEnd w:id="24"/>
      <w:r w:rsidR="005D3DDD">
        <w:t xml:space="preserve"> </w:t>
      </w:r>
      <w:r w:rsidR="005D3DDD" w:rsidRPr="005D3DDD">
        <w:rPr>
          <w:b w:val="0"/>
        </w:rPr>
        <w:t>(sólidos M y S)</w:t>
      </w:r>
      <w:bookmarkEnd w:id="25"/>
    </w:p>
    <w:p w:rsidR="009531E1" w:rsidRPr="005013F3" w:rsidRDefault="005013F3" w:rsidP="00234195">
      <w:pPr>
        <w:spacing w:after="0" w:line="240" w:lineRule="auto"/>
        <w:rPr>
          <w:rStyle w:val="shorttext"/>
          <w:lang w:val="es-ES"/>
        </w:rPr>
      </w:pPr>
      <w:r>
        <w:rPr>
          <w:rStyle w:val="hps"/>
          <w:rFonts w:eastAsia="Times New Roman" w:cs="Arial"/>
          <w:szCs w:val="24"/>
          <w:lang w:val="es-ES"/>
        </w:rPr>
        <w:t>En función de lo que se ha adelantado en el estudio de materiales mesoporosos de sílice como soporte para encapsulación. El cargado de</w:t>
      </w:r>
      <w:r w:rsidR="00F94747">
        <w:rPr>
          <w:rStyle w:val="hps"/>
          <w:rFonts w:eastAsia="Times New Roman" w:cs="Arial"/>
          <w:szCs w:val="24"/>
          <w:lang w:val="es-ES"/>
        </w:rPr>
        <w:t>l</w:t>
      </w:r>
      <w:r>
        <w:rPr>
          <w:rStyle w:val="hps"/>
          <w:rFonts w:eastAsia="Times New Roman" w:cs="Arial"/>
          <w:szCs w:val="24"/>
          <w:lang w:val="es-ES"/>
        </w:rPr>
        <w:t xml:space="preserve"> </w:t>
      </w:r>
      <w:r w:rsidR="00F94747">
        <w:rPr>
          <w:rStyle w:val="hps"/>
          <w:rFonts w:eastAsia="Times New Roman" w:cs="Arial"/>
          <w:szCs w:val="24"/>
          <w:lang w:val="es-ES"/>
        </w:rPr>
        <w:t>compuesto</w:t>
      </w:r>
      <w:r>
        <w:rPr>
          <w:rStyle w:val="hps"/>
          <w:rFonts w:eastAsia="Times New Roman" w:cs="Arial"/>
          <w:szCs w:val="24"/>
          <w:lang w:val="es-ES"/>
        </w:rPr>
        <w:t xml:space="preserve"> se h</w:t>
      </w:r>
      <w:r w:rsidR="0092789C">
        <w:rPr>
          <w:rStyle w:val="hps"/>
          <w:rFonts w:eastAsia="Times New Roman" w:cs="Arial"/>
          <w:szCs w:val="24"/>
          <w:lang w:val="es-ES"/>
        </w:rPr>
        <w:t>izo</w:t>
      </w:r>
      <w:r>
        <w:rPr>
          <w:rStyle w:val="hps"/>
          <w:rFonts w:eastAsia="Times New Roman" w:cs="Arial"/>
          <w:szCs w:val="24"/>
          <w:lang w:val="es-ES"/>
        </w:rPr>
        <w:t xml:space="preserve"> mediante un sistema denominado impregnación (i)</w:t>
      </w:r>
      <w:r w:rsidR="00F94747">
        <w:rPr>
          <w:rStyle w:val="hps"/>
          <w:lang w:val="es-ES"/>
        </w:rPr>
        <w:t>.</w:t>
      </w:r>
    </w:p>
    <w:p w:rsidR="009531E1" w:rsidRDefault="009531E1" w:rsidP="00234195">
      <w:pPr>
        <w:spacing w:after="0" w:line="240" w:lineRule="auto"/>
        <w:rPr>
          <w:lang w:val="es-ES"/>
        </w:rPr>
      </w:pPr>
      <w:r w:rsidRPr="009C70C4">
        <w:rPr>
          <w:rStyle w:val="hps"/>
          <w:rFonts w:eastAsia="Times New Roman" w:cs="Arial"/>
          <w:szCs w:val="24"/>
          <w:lang w:val="es-ES"/>
        </w:rPr>
        <w:t>En un</w:t>
      </w:r>
      <w:r w:rsidRPr="009C70C4">
        <w:rPr>
          <w:rFonts w:eastAsia="Times New Roman"/>
          <w:lang w:val="es-ES"/>
        </w:rPr>
        <w:t xml:space="preserve"> </w:t>
      </w:r>
      <w:r w:rsidRPr="009C70C4">
        <w:rPr>
          <w:rStyle w:val="hps"/>
          <w:rFonts w:eastAsia="Times New Roman" w:cs="Arial"/>
          <w:szCs w:val="24"/>
          <w:lang w:val="es-ES"/>
        </w:rPr>
        <w:t>pesafiltros se dispus</w:t>
      </w:r>
      <w:r w:rsidR="0002314D">
        <w:rPr>
          <w:rStyle w:val="hps"/>
          <w:rFonts w:eastAsia="Times New Roman" w:cs="Arial"/>
          <w:szCs w:val="24"/>
          <w:lang w:val="es-ES"/>
        </w:rPr>
        <w:t>ieron 100mg de sólido (M0 ó S0)</w:t>
      </w:r>
      <w:r w:rsidRPr="009C70C4">
        <w:rPr>
          <w:rStyle w:val="hps"/>
          <w:rFonts w:eastAsia="Times New Roman" w:cs="Arial"/>
          <w:szCs w:val="24"/>
          <w:lang w:val="es-ES"/>
        </w:rPr>
        <w:t xml:space="preserve"> extendiendo el sólido por toda la superficie del recipiente</w:t>
      </w:r>
      <w:r w:rsidR="00F94747">
        <w:rPr>
          <w:rStyle w:val="hps"/>
          <w:rFonts w:eastAsia="Times New Roman" w:cs="Arial"/>
          <w:szCs w:val="24"/>
          <w:lang w:val="es-ES"/>
        </w:rPr>
        <w:t>.</w:t>
      </w:r>
      <w:r w:rsidRPr="009C70C4">
        <w:rPr>
          <w:rStyle w:val="hps"/>
          <w:rFonts w:eastAsia="Times New Roman" w:cs="Arial"/>
          <w:szCs w:val="24"/>
          <w:lang w:val="es-ES"/>
        </w:rPr>
        <w:t xml:space="preserve"> A continuación</w:t>
      </w:r>
      <w:r w:rsidR="0002314D">
        <w:rPr>
          <w:rStyle w:val="hps"/>
          <w:rFonts w:eastAsia="Times New Roman" w:cs="Arial"/>
          <w:szCs w:val="24"/>
          <w:lang w:val="es-ES"/>
        </w:rPr>
        <w:t>,</w:t>
      </w:r>
      <w:r w:rsidR="00F94747">
        <w:rPr>
          <w:rStyle w:val="hps"/>
          <w:rFonts w:eastAsia="Times New Roman" w:cs="Arial"/>
          <w:szCs w:val="24"/>
          <w:lang w:val="es-ES"/>
        </w:rPr>
        <w:t xml:space="preserve"> se añadió sobre el sólido</w:t>
      </w:r>
      <w:r w:rsidRPr="009C70C4">
        <w:rPr>
          <w:rStyle w:val="hps"/>
          <w:rFonts w:eastAsia="Times New Roman" w:cs="Arial"/>
          <w:szCs w:val="24"/>
          <w:lang w:val="es-ES"/>
        </w:rPr>
        <w:t xml:space="preserve"> un volumen de 500 ul de una solución de DADS en acetonitrilo</w:t>
      </w:r>
      <w:r>
        <w:rPr>
          <w:rStyle w:val="hps"/>
          <w:rFonts w:eastAsia="Times New Roman" w:cs="Arial"/>
          <w:szCs w:val="24"/>
          <w:lang w:val="es-ES"/>
        </w:rPr>
        <w:t>.</w:t>
      </w:r>
      <w:r w:rsidRPr="009C70C4">
        <w:rPr>
          <w:rStyle w:val="hps"/>
          <w:rFonts w:eastAsia="Times New Roman" w:cs="Arial"/>
          <w:szCs w:val="24"/>
          <w:lang w:val="es-ES"/>
        </w:rPr>
        <w:t xml:space="preserve"> </w:t>
      </w:r>
      <w:r w:rsidR="00F94747">
        <w:rPr>
          <w:rStyle w:val="hps"/>
          <w:rFonts w:eastAsia="Times New Roman" w:cs="Arial"/>
          <w:szCs w:val="24"/>
          <w:lang w:val="es-ES"/>
        </w:rPr>
        <w:br/>
      </w:r>
      <w:r>
        <w:rPr>
          <w:lang w:val="es-ES"/>
        </w:rPr>
        <w:t>El volumen de cada ciclo de carga se añadió</w:t>
      </w:r>
      <w:r w:rsidRPr="00AE7395">
        <w:rPr>
          <w:lang w:val="es-ES"/>
        </w:rPr>
        <w:t xml:space="preserve"> gota a gota dejando </w:t>
      </w:r>
      <w:r>
        <w:rPr>
          <w:lang w:val="es-ES"/>
        </w:rPr>
        <w:t>secar</w:t>
      </w:r>
      <w:r w:rsidRPr="00AE7395">
        <w:rPr>
          <w:lang w:val="es-ES"/>
        </w:rPr>
        <w:t xml:space="preserve"> </w:t>
      </w:r>
      <w:r w:rsidR="00F94747">
        <w:rPr>
          <w:lang w:val="es-ES"/>
        </w:rPr>
        <w:t xml:space="preserve">entre aplicaciones. </w:t>
      </w:r>
      <w:r>
        <w:rPr>
          <w:lang w:val="es-ES"/>
        </w:rPr>
        <w:t>Tras el último ciclo de cargado</w:t>
      </w:r>
      <w:r w:rsidRPr="00AE7395">
        <w:rPr>
          <w:lang w:val="es-ES"/>
        </w:rPr>
        <w:t xml:space="preserve"> </w:t>
      </w:r>
      <w:r>
        <w:rPr>
          <w:lang w:val="es-ES"/>
        </w:rPr>
        <w:t>el sólido se mantuvo</w:t>
      </w:r>
      <w:r w:rsidRPr="00AE7395">
        <w:rPr>
          <w:lang w:val="es-ES"/>
        </w:rPr>
        <w:t xml:space="preserve"> en campana de extracción de gases durante 24h</w:t>
      </w:r>
      <w:r>
        <w:rPr>
          <w:lang w:val="es-ES"/>
        </w:rPr>
        <w:t xml:space="preserve"> para conseguir un completo secado. Mediante este sistema se asume que el solvente se volatiliza y el compuesto se concentra en los poros </w:t>
      </w:r>
      <w:r w:rsidR="005D3DDD">
        <w:rPr>
          <w:lang w:val="es-ES"/>
        </w:rPr>
        <w:t>del sólido, obt</w:t>
      </w:r>
      <w:r w:rsidR="0002314D">
        <w:rPr>
          <w:lang w:val="es-ES"/>
        </w:rPr>
        <w:t>eniendo el sólido cargado M y S,</w:t>
      </w:r>
      <w:r w:rsidR="005D3DDD">
        <w:rPr>
          <w:lang w:val="es-ES"/>
        </w:rPr>
        <w:t xml:space="preserve"> para los sólidos MCM41 y SBA15, respectivamente.</w:t>
      </w:r>
    </w:p>
    <w:p w:rsidR="009531E1" w:rsidRDefault="0002314D" w:rsidP="00234195">
      <w:pPr>
        <w:spacing w:after="0" w:line="240" w:lineRule="auto"/>
        <w:rPr>
          <w:lang w:val="es-ES"/>
        </w:rPr>
      </w:pPr>
      <w:r>
        <w:rPr>
          <w:lang w:val="es-ES"/>
        </w:rPr>
        <w:t>Se</w:t>
      </w:r>
      <w:r w:rsidR="009531E1">
        <w:rPr>
          <w:lang w:val="es-ES"/>
        </w:rPr>
        <w:t xml:space="preserve"> aplicaron </w:t>
      </w:r>
      <w:r w:rsidR="003F7867">
        <w:rPr>
          <w:lang w:val="es-ES"/>
        </w:rPr>
        <w:t>entre 1 y 3</w:t>
      </w:r>
      <w:r w:rsidR="009531E1">
        <w:rPr>
          <w:lang w:val="es-ES"/>
        </w:rPr>
        <w:t xml:space="preserve"> ciclos de carga de 0.5mL, </w:t>
      </w:r>
      <w:r w:rsidR="003F7867">
        <w:rPr>
          <w:lang w:val="es-ES"/>
        </w:rPr>
        <w:t xml:space="preserve">hasta </w:t>
      </w:r>
      <w:r w:rsidR="009531E1">
        <w:rPr>
          <w:lang w:val="es-ES"/>
        </w:rPr>
        <w:t xml:space="preserve">un total de </w:t>
      </w:r>
      <w:r w:rsidR="003F7867">
        <w:rPr>
          <w:lang w:val="es-ES"/>
        </w:rPr>
        <w:t>1</w:t>
      </w:r>
      <w:r w:rsidR="009531E1" w:rsidRPr="00AE7395">
        <w:rPr>
          <w:lang w:val="es-ES"/>
        </w:rPr>
        <w:t>.5mL</w:t>
      </w:r>
      <w:r w:rsidR="009531E1">
        <w:rPr>
          <w:lang w:val="es-ES"/>
        </w:rPr>
        <w:t xml:space="preserve"> (</w:t>
      </w:r>
      <w:r w:rsidR="003F7867">
        <w:rPr>
          <w:lang w:val="es-ES"/>
        </w:rPr>
        <w:t>3</w:t>
      </w:r>
      <w:r w:rsidR="009531E1">
        <w:rPr>
          <w:lang w:val="es-ES"/>
        </w:rPr>
        <w:t>x0.5mL</w:t>
      </w:r>
      <w:r w:rsidR="003F7867">
        <w:rPr>
          <w:lang w:val="es-ES"/>
        </w:rPr>
        <w:t xml:space="preserve"> en el de tres ciclos</w:t>
      </w:r>
      <w:r w:rsidR="009531E1">
        <w:rPr>
          <w:lang w:val="es-ES"/>
        </w:rPr>
        <w:t>)</w:t>
      </w:r>
      <w:r w:rsidR="009531E1" w:rsidRPr="00AE7395">
        <w:rPr>
          <w:lang w:val="es-ES"/>
        </w:rPr>
        <w:t xml:space="preserve"> de la solución de DADS</w:t>
      </w:r>
      <w:r w:rsidR="009531E1">
        <w:rPr>
          <w:lang w:val="es-ES"/>
        </w:rPr>
        <w:t xml:space="preserve"> en ACN</w:t>
      </w:r>
      <w:r w:rsidR="009531E1" w:rsidRPr="00AE7395">
        <w:rPr>
          <w:lang w:val="es-ES"/>
        </w:rPr>
        <w:t xml:space="preserve"> de 10mg/mL</w:t>
      </w:r>
      <w:r w:rsidR="009531E1">
        <w:rPr>
          <w:lang w:val="es-ES"/>
        </w:rPr>
        <w:t>.</w:t>
      </w:r>
      <w:r w:rsidR="00F94747">
        <w:rPr>
          <w:lang w:val="es-ES"/>
        </w:rPr>
        <w:t xml:space="preserve"> </w:t>
      </w:r>
    </w:p>
    <w:p w:rsidR="00BB5CE9" w:rsidRDefault="00BB5CE9" w:rsidP="00234195">
      <w:pPr>
        <w:spacing w:after="0" w:line="240" w:lineRule="auto"/>
        <w:rPr>
          <w:lang w:val="es-ES"/>
        </w:rPr>
      </w:pPr>
    </w:p>
    <w:p w:rsidR="009531E1" w:rsidRDefault="009531E1" w:rsidP="005A6063">
      <w:pPr>
        <w:pStyle w:val="Heading2"/>
      </w:pPr>
      <w:bookmarkStart w:id="26" w:name="_Toc397538622"/>
      <w:bookmarkStart w:id="27" w:name="_Toc429397056"/>
      <w:bookmarkStart w:id="28" w:name="_Toc428350209"/>
      <w:bookmarkStart w:id="29" w:name="_Toc428350266"/>
      <w:r w:rsidRPr="005A6063">
        <w:t>Funcionalización</w:t>
      </w:r>
      <w:r w:rsidRPr="009C70C4">
        <w:t xml:space="preserve"> de los soportes cargados con DADS</w:t>
      </w:r>
      <w:bookmarkStart w:id="30" w:name="_Toc397538623"/>
      <w:bookmarkEnd w:id="26"/>
      <w:bookmarkEnd w:id="27"/>
      <w:r w:rsidRPr="009C70C4">
        <w:t xml:space="preserve"> </w:t>
      </w:r>
      <w:bookmarkEnd w:id="28"/>
      <w:bookmarkEnd w:id="29"/>
      <w:bookmarkEnd w:id="30"/>
    </w:p>
    <w:p w:rsidR="009531E1" w:rsidRDefault="009531E1" w:rsidP="00234195">
      <w:pPr>
        <w:spacing w:after="0" w:line="240" w:lineRule="auto"/>
        <w:rPr>
          <w:rFonts w:eastAsia="Times New Roman"/>
          <w:lang w:val="es-ES"/>
        </w:rPr>
      </w:pPr>
      <w:r w:rsidRPr="009C70C4">
        <w:rPr>
          <w:rStyle w:val="hps"/>
          <w:rFonts w:eastAsia="Times New Roman" w:cs="Arial"/>
          <w:szCs w:val="24"/>
          <w:lang w:val="es-ES"/>
        </w:rPr>
        <w:t>En un</w:t>
      </w:r>
      <w:r w:rsidRPr="009C70C4">
        <w:rPr>
          <w:rFonts w:eastAsia="Times New Roman"/>
          <w:lang w:val="es-ES"/>
        </w:rPr>
        <w:t xml:space="preserve"> </w:t>
      </w:r>
      <w:r w:rsidRPr="009C70C4">
        <w:rPr>
          <w:rStyle w:val="hps"/>
          <w:rFonts w:eastAsia="Times New Roman" w:cs="Arial"/>
          <w:szCs w:val="24"/>
          <w:lang w:val="es-ES"/>
        </w:rPr>
        <w:t>matraz de fondo redond</w:t>
      </w:r>
      <w:r w:rsidR="000257CD">
        <w:rPr>
          <w:rStyle w:val="hps"/>
          <w:rFonts w:eastAsia="Times New Roman" w:cs="Arial"/>
          <w:szCs w:val="24"/>
          <w:lang w:val="es-ES"/>
        </w:rPr>
        <w:t>o, a 100mg de sólido cargado (M</w:t>
      </w:r>
      <w:r w:rsidRPr="009C70C4">
        <w:rPr>
          <w:rStyle w:val="hps"/>
          <w:rFonts w:eastAsia="Times New Roman" w:cs="Arial"/>
          <w:szCs w:val="24"/>
          <w:lang w:val="es-ES"/>
        </w:rPr>
        <w:t xml:space="preserve"> </w:t>
      </w:r>
      <w:r w:rsidR="005D3DDD">
        <w:rPr>
          <w:rStyle w:val="hps"/>
          <w:rFonts w:eastAsia="Times New Roman" w:cs="Arial"/>
          <w:szCs w:val="24"/>
          <w:lang w:val="es-ES"/>
        </w:rPr>
        <w:t>y</w:t>
      </w:r>
      <w:r w:rsidRPr="009C70C4">
        <w:rPr>
          <w:rStyle w:val="hps"/>
          <w:rFonts w:eastAsia="Times New Roman" w:cs="Arial"/>
          <w:szCs w:val="24"/>
          <w:lang w:val="es-ES"/>
        </w:rPr>
        <w:t xml:space="preserve"> S) se adicionó un exceso de puerta N3, </w:t>
      </w:r>
      <w:r w:rsidRPr="00EB34E9">
        <w:rPr>
          <w:rFonts w:eastAsia="Times New Roman"/>
          <w:lang w:val="es-ES"/>
        </w:rPr>
        <w:t>3-[2-(2-aminoethylamino)-ethylamino]propyl-trimethoxysilane (4.3 mL, 15.0 mmol)</w:t>
      </w:r>
      <w:r w:rsidR="0002314D">
        <w:rPr>
          <w:rFonts w:eastAsia="Times New Roman"/>
          <w:lang w:val="es-ES"/>
        </w:rPr>
        <w:t>,</w:t>
      </w:r>
      <w:r w:rsidRPr="009C70C4">
        <w:rPr>
          <w:rFonts w:eastAsia="Times New Roman"/>
          <w:lang w:val="es-ES"/>
        </w:rPr>
        <w:t xml:space="preserve"> </w:t>
      </w:r>
      <w:r w:rsidRPr="009C70C4">
        <w:rPr>
          <w:rStyle w:val="hps"/>
          <w:rFonts w:eastAsia="Times New Roman" w:cs="Arial"/>
          <w:szCs w:val="24"/>
          <w:lang w:val="es-ES"/>
        </w:rPr>
        <w:t>en</w:t>
      </w:r>
      <w:r w:rsidRPr="009C70C4">
        <w:rPr>
          <w:rFonts w:eastAsia="Times New Roman"/>
          <w:lang w:val="es-ES"/>
        </w:rPr>
        <w:t xml:space="preserve"> </w:t>
      </w:r>
      <w:r w:rsidRPr="009C70C4">
        <w:rPr>
          <w:rStyle w:val="hps"/>
          <w:rFonts w:eastAsia="Times New Roman" w:cs="Arial"/>
          <w:szCs w:val="24"/>
          <w:lang w:val="es-ES"/>
        </w:rPr>
        <w:t>10</w:t>
      </w:r>
      <w:r w:rsidRPr="009C70C4">
        <w:rPr>
          <w:rFonts w:eastAsia="Times New Roman"/>
          <w:lang w:val="es-ES"/>
        </w:rPr>
        <w:t xml:space="preserve"> </w:t>
      </w:r>
      <w:r w:rsidRPr="009C70C4">
        <w:rPr>
          <w:rStyle w:val="hps"/>
          <w:rFonts w:eastAsia="Times New Roman" w:cs="Arial"/>
          <w:szCs w:val="24"/>
          <w:lang w:val="es-ES"/>
        </w:rPr>
        <w:t>ml de acetonitrilo</w:t>
      </w:r>
      <w:r w:rsidRPr="009C70C4">
        <w:rPr>
          <w:rFonts w:eastAsia="Times New Roman"/>
          <w:lang w:val="es-ES"/>
        </w:rPr>
        <w:t xml:space="preserve">. </w:t>
      </w:r>
      <w:r w:rsidRPr="009C70C4">
        <w:rPr>
          <w:rStyle w:val="hps"/>
          <w:rFonts w:eastAsia="Times New Roman" w:cs="Arial"/>
          <w:szCs w:val="24"/>
          <w:lang w:val="es-ES"/>
        </w:rPr>
        <w:t>La mezcla se agitó durante</w:t>
      </w:r>
      <w:r w:rsidRPr="009C70C4">
        <w:rPr>
          <w:rFonts w:eastAsia="Times New Roman"/>
          <w:lang w:val="es-ES"/>
        </w:rPr>
        <w:t xml:space="preserve"> </w:t>
      </w:r>
      <w:r w:rsidRPr="009C70C4">
        <w:rPr>
          <w:rStyle w:val="hps"/>
          <w:rFonts w:eastAsia="Times New Roman" w:cs="Arial"/>
          <w:szCs w:val="24"/>
          <w:lang w:val="es-ES"/>
        </w:rPr>
        <w:t>5,5</w:t>
      </w:r>
      <w:r w:rsidRPr="009C70C4">
        <w:rPr>
          <w:rFonts w:eastAsia="Times New Roman"/>
          <w:lang w:val="es-ES"/>
        </w:rPr>
        <w:t xml:space="preserve"> </w:t>
      </w:r>
      <w:r w:rsidRPr="009C70C4">
        <w:rPr>
          <w:rStyle w:val="hps"/>
          <w:rFonts w:eastAsia="Times New Roman" w:cs="Arial"/>
          <w:szCs w:val="24"/>
          <w:lang w:val="es-ES"/>
        </w:rPr>
        <w:t>h</w:t>
      </w:r>
      <w:r w:rsidRPr="009C70C4">
        <w:rPr>
          <w:rFonts w:eastAsia="Times New Roman"/>
          <w:lang w:val="es-ES"/>
        </w:rPr>
        <w:t xml:space="preserve"> </w:t>
      </w:r>
      <w:r w:rsidRPr="009C70C4">
        <w:rPr>
          <w:rStyle w:val="hps"/>
          <w:rFonts w:eastAsia="Times New Roman" w:cs="Arial"/>
          <w:szCs w:val="24"/>
          <w:lang w:val="es-ES"/>
        </w:rPr>
        <w:t>a temperatura ambiente en</w:t>
      </w:r>
      <w:r w:rsidRPr="009C70C4">
        <w:rPr>
          <w:rFonts w:eastAsia="Times New Roman"/>
          <w:lang w:val="es-ES"/>
        </w:rPr>
        <w:t xml:space="preserve"> </w:t>
      </w:r>
      <w:r w:rsidRPr="009C70C4">
        <w:rPr>
          <w:rStyle w:val="hps"/>
          <w:rFonts w:eastAsia="Times New Roman" w:cs="Arial"/>
          <w:szCs w:val="24"/>
          <w:lang w:val="es-ES"/>
        </w:rPr>
        <w:t>una atmósfera inerte de</w:t>
      </w:r>
      <w:r w:rsidRPr="009C70C4">
        <w:rPr>
          <w:rFonts w:eastAsia="Times New Roman"/>
          <w:lang w:val="es-ES"/>
        </w:rPr>
        <w:t xml:space="preserve"> </w:t>
      </w:r>
      <w:r w:rsidRPr="009C70C4">
        <w:rPr>
          <w:rStyle w:val="hps"/>
          <w:rFonts w:eastAsia="Times New Roman" w:cs="Arial"/>
          <w:szCs w:val="24"/>
          <w:lang w:val="es-ES"/>
        </w:rPr>
        <w:t>argón</w:t>
      </w:r>
      <w:r w:rsidRPr="009C70C4">
        <w:rPr>
          <w:rFonts w:eastAsia="Times New Roman"/>
          <w:lang w:val="es-ES"/>
        </w:rPr>
        <w:t xml:space="preserve">. </w:t>
      </w:r>
    </w:p>
    <w:p w:rsidR="009531E1" w:rsidRDefault="009531E1" w:rsidP="00234195">
      <w:pPr>
        <w:spacing w:after="0" w:line="240" w:lineRule="auto"/>
        <w:rPr>
          <w:rFonts w:eastAsia="Times New Roman"/>
          <w:lang w:val="es-ES"/>
        </w:rPr>
      </w:pPr>
      <w:r w:rsidRPr="009C70C4">
        <w:rPr>
          <w:rStyle w:val="hps"/>
          <w:rFonts w:eastAsia="Times New Roman" w:cs="Arial"/>
          <w:szCs w:val="24"/>
          <w:lang w:val="es-ES"/>
        </w:rPr>
        <w:t>El sólido</w:t>
      </w:r>
      <w:r w:rsidR="000257CD">
        <w:rPr>
          <w:rStyle w:val="hps"/>
          <w:rFonts w:eastAsia="Times New Roman" w:cs="Arial"/>
          <w:szCs w:val="24"/>
          <w:lang w:val="es-ES"/>
        </w:rPr>
        <w:t xml:space="preserve"> obtenido (M-N3 </w:t>
      </w:r>
      <w:r w:rsidR="005D3DDD">
        <w:rPr>
          <w:rStyle w:val="hps"/>
          <w:rFonts w:eastAsia="Times New Roman" w:cs="Arial"/>
          <w:szCs w:val="24"/>
          <w:lang w:val="es-ES"/>
        </w:rPr>
        <w:t>y</w:t>
      </w:r>
      <w:r w:rsidR="000257CD">
        <w:rPr>
          <w:rStyle w:val="hps"/>
          <w:rFonts w:eastAsia="Times New Roman" w:cs="Arial"/>
          <w:szCs w:val="24"/>
          <w:lang w:val="es-ES"/>
        </w:rPr>
        <w:t xml:space="preserve"> S-N3</w:t>
      </w:r>
      <w:r w:rsidR="005D3DDD">
        <w:rPr>
          <w:rStyle w:val="hps"/>
          <w:rFonts w:eastAsia="Times New Roman" w:cs="Arial"/>
          <w:szCs w:val="24"/>
          <w:lang w:val="es-ES"/>
        </w:rPr>
        <w:t>, respectivamente</w:t>
      </w:r>
      <w:r w:rsidR="000257CD">
        <w:rPr>
          <w:rStyle w:val="hps"/>
          <w:rFonts w:eastAsia="Times New Roman" w:cs="Arial"/>
          <w:szCs w:val="24"/>
          <w:lang w:val="es-ES"/>
        </w:rPr>
        <w:t>)</w:t>
      </w:r>
      <w:r w:rsidRPr="009C70C4">
        <w:rPr>
          <w:rStyle w:val="hps"/>
          <w:rFonts w:eastAsia="Times New Roman" w:cs="Arial"/>
          <w:szCs w:val="24"/>
          <w:lang w:val="es-ES"/>
        </w:rPr>
        <w:t xml:space="preserve"> se</w:t>
      </w:r>
      <w:r w:rsidRPr="009C70C4">
        <w:rPr>
          <w:rFonts w:eastAsia="Times New Roman"/>
          <w:lang w:val="es-ES"/>
        </w:rPr>
        <w:t xml:space="preserve"> </w:t>
      </w:r>
      <w:r w:rsidRPr="009C70C4">
        <w:rPr>
          <w:rStyle w:val="hps"/>
          <w:rFonts w:eastAsia="Times New Roman" w:cs="Arial"/>
          <w:szCs w:val="24"/>
          <w:lang w:val="es-ES"/>
        </w:rPr>
        <w:t>filtró y se lavó</w:t>
      </w:r>
      <w:r w:rsidRPr="009C70C4">
        <w:rPr>
          <w:rFonts w:eastAsia="Times New Roman"/>
          <w:lang w:val="es-ES"/>
        </w:rPr>
        <w:t xml:space="preserve"> </w:t>
      </w:r>
      <w:r w:rsidRPr="009C70C4">
        <w:rPr>
          <w:rStyle w:val="hps"/>
          <w:rFonts w:eastAsia="Times New Roman" w:cs="Arial"/>
          <w:szCs w:val="24"/>
          <w:lang w:val="es-ES"/>
        </w:rPr>
        <w:t>con solución ácida,</w:t>
      </w:r>
      <w:r w:rsidRPr="009C70C4">
        <w:rPr>
          <w:rFonts w:eastAsia="Times New Roman"/>
          <w:lang w:val="es-ES"/>
        </w:rPr>
        <w:t xml:space="preserve"> </w:t>
      </w:r>
      <w:r w:rsidRPr="009C70C4">
        <w:rPr>
          <w:rStyle w:val="hps"/>
          <w:rFonts w:eastAsia="Times New Roman" w:cs="Arial"/>
          <w:szCs w:val="24"/>
          <w:lang w:val="es-ES"/>
        </w:rPr>
        <w:t>a un pH de</w:t>
      </w:r>
      <w:r w:rsidRPr="009C70C4">
        <w:rPr>
          <w:rFonts w:eastAsia="Times New Roman"/>
          <w:lang w:val="es-ES"/>
        </w:rPr>
        <w:t xml:space="preserve"> </w:t>
      </w:r>
      <w:r w:rsidRPr="009C70C4">
        <w:rPr>
          <w:rStyle w:val="hps"/>
          <w:rFonts w:eastAsia="Times New Roman" w:cs="Arial"/>
          <w:szCs w:val="24"/>
          <w:lang w:val="es-ES"/>
        </w:rPr>
        <w:t>2,0</w:t>
      </w:r>
      <w:r w:rsidRPr="009C70C4">
        <w:rPr>
          <w:rFonts w:eastAsia="Times New Roman"/>
          <w:lang w:val="es-ES"/>
        </w:rPr>
        <w:t xml:space="preserve"> </w:t>
      </w:r>
      <w:r w:rsidRPr="009C70C4">
        <w:rPr>
          <w:rStyle w:val="hps"/>
          <w:rFonts w:eastAsia="Times New Roman" w:cs="Arial"/>
          <w:szCs w:val="24"/>
          <w:lang w:val="es-ES"/>
        </w:rPr>
        <w:t>(</w:t>
      </w:r>
      <w:r w:rsidRPr="009C70C4">
        <w:rPr>
          <w:rFonts w:eastAsia="Times New Roman"/>
          <w:lang w:val="es-ES"/>
        </w:rPr>
        <w:t xml:space="preserve">se acidificó con ácido </w:t>
      </w:r>
      <w:r w:rsidRPr="009C70C4">
        <w:rPr>
          <w:rStyle w:val="hps"/>
          <w:rFonts w:eastAsia="Times New Roman" w:cs="Arial"/>
          <w:szCs w:val="24"/>
          <w:lang w:val="es-ES"/>
        </w:rPr>
        <w:t>sulfúrico</w:t>
      </w:r>
      <w:r w:rsidR="0002314D">
        <w:rPr>
          <w:rFonts w:eastAsia="Times New Roman"/>
          <w:lang w:val="es-ES"/>
        </w:rPr>
        <w:t>),</w:t>
      </w:r>
      <w:r w:rsidRPr="009C70C4">
        <w:rPr>
          <w:rFonts w:eastAsia="Times New Roman"/>
          <w:lang w:val="es-ES"/>
        </w:rPr>
        <w:t xml:space="preserve"> con el objeto de evitar la apertura de la puerta. </w:t>
      </w:r>
      <w:r w:rsidRPr="009C70C4">
        <w:rPr>
          <w:rStyle w:val="hps"/>
          <w:rFonts w:eastAsia="Times New Roman" w:cs="Arial"/>
          <w:szCs w:val="24"/>
          <w:lang w:val="es-ES"/>
        </w:rPr>
        <w:t>Finalmente</w:t>
      </w:r>
      <w:r w:rsidR="0002314D">
        <w:rPr>
          <w:rStyle w:val="hps"/>
          <w:rFonts w:eastAsia="Times New Roman" w:cs="Arial"/>
          <w:szCs w:val="24"/>
          <w:lang w:val="es-ES"/>
        </w:rPr>
        <w:t>,</w:t>
      </w:r>
      <w:r w:rsidRPr="009C70C4">
        <w:rPr>
          <w:rStyle w:val="hps"/>
          <w:rFonts w:eastAsia="Times New Roman" w:cs="Arial"/>
          <w:szCs w:val="24"/>
          <w:lang w:val="es-ES"/>
        </w:rPr>
        <w:t xml:space="preserve"> el sólido se secó durante</w:t>
      </w:r>
      <w:r w:rsidRPr="009C70C4">
        <w:rPr>
          <w:rFonts w:eastAsia="Times New Roman"/>
          <w:lang w:val="es-ES"/>
        </w:rPr>
        <w:t xml:space="preserve"> </w:t>
      </w:r>
      <w:r w:rsidRPr="009C70C4">
        <w:rPr>
          <w:rStyle w:val="hps"/>
          <w:rFonts w:eastAsia="Times New Roman" w:cs="Arial"/>
          <w:szCs w:val="24"/>
          <w:lang w:val="es-ES"/>
        </w:rPr>
        <w:t>12</w:t>
      </w:r>
      <w:r w:rsidRPr="009C70C4">
        <w:rPr>
          <w:rFonts w:eastAsia="Times New Roman"/>
          <w:lang w:val="es-ES"/>
        </w:rPr>
        <w:t xml:space="preserve"> </w:t>
      </w:r>
      <w:r w:rsidRPr="009C70C4">
        <w:rPr>
          <w:rStyle w:val="hps"/>
          <w:rFonts w:eastAsia="Times New Roman" w:cs="Arial"/>
          <w:szCs w:val="24"/>
          <w:lang w:val="es-ES"/>
        </w:rPr>
        <w:t>h a</w:t>
      </w:r>
      <w:r w:rsidRPr="009C70C4">
        <w:rPr>
          <w:rFonts w:eastAsia="Times New Roman"/>
          <w:lang w:val="es-ES"/>
        </w:rPr>
        <w:t xml:space="preserve"> </w:t>
      </w:r>
      <w:r w:rsidRPr="009C70C4">
        <w:rPr>
          <w:rStyle w:val="hps"/>
          <w:rFonts w:eastAsia="Times New Roman" w:cs="Arial"/>
          <w:szCs w:val="24"/>
          <w:lang w:val="es-ES"/>
        </w:rPr>
        <w:t>35</w:t>
      </w:r>
      <w:r w:rsidRPr="009C70C4">
        <w:rPr>
          <w:rFonts w:eastAsia="Times New Roman"/>
          <w:lang w:val="es-ES"/>
        </w:rPr>
        <w:t xml:space="preserve"> </w:t>
      </w:r>
      <w:r w:rsidRPr="009C70C4">
        <w:rPr>
          <w:rStyle w:val="hps"/>
          <w:rFonts w:eastAsia="Times New Roman" w:cs="Arial"/>
          <w:szCs w:val="24"/>
          <w:lang w:val="es-ES"/>
        </w:rPr>
        <w:t>º C</w:t>
      </w:r>
      <w:r w:rsidRPr="009C70C4">
        <w:rPr>
          <w:rFonts w:eastAsia="Times New Roman"/>
          <w:lang w:val="es-ES"/>
        </w:rPr>
        <w:t xml:space="preserve"> </w:t>
      </w:r>
      <w:r w:rsidR="00482127">
        <w:rPr>
          <w:rFonts w:eastAsia="Times New Roman"/>
          <w:lang w:val="es-ES"/>
        </w:rPr>
        <w:fldChar w:fldCharType="begin" w:fldLock="1"/>
      </w:r>
      <w:r>
        <w:rPr>
          <w:rFonts w:eastAsia="Times New Roman"/>
          <w:lang w:val="es-ES"/>
        </w:rPr>
        <w:instrText>ADDIN CSL_CITATION { "citationItems" : [ { "id" : "ITEM-1", "itemData" : { "DOI" : "10.1016/j.jconrel.2008.07.037", "ISBN" : "0168-3659", "ISSN" : "01683659", "PMID" : "18727946", "abstract" : "A study on the controlled release of vitamin B2 in pure water from mesoporous silica-based materials containing a pH- and anion-controlled nano-supramolecular gate-like ensembles built up by anchoring suitable polyamines on the external surface is reported (solid S1). This solid contains the vitamin (the delivered molecule) onto the pores, whereas the amine-based gate-like ensemble is anchored on the pore outlets. To obtain solid S1 the mesoporous MCM-41 support was first synthesized using tetraethyl orthosilicate (TEOS) as hydrolytic inorganic precursor and the surfactant hexadecyltrimethylammonium bromide (CTAB) as porogen species. Calcination of the mesostructured phase resulted in the starting solid. Then, first the vitamin and the latter an excess of 3-[2-(2-aminoethylamino)ethylamino]propyl-trimethoxysilane were added to the suspension containing the MCM-41 scaffolding and stirred. Solid S1 was characterized using standard solid state procedures. It was found that the functionalization process and the inclusion of the vitamin on the pores do not modify the mesoporous structure of the starting material. Delivery studies in water were carried out at pH 2 and 7. At pH 2 all the anions studied (sulfate, phosphate, GMP and ATP) strongly hinder vitamin release (Canion = 1 \u00d7 10- 2\u00a0mol dm- 3), whereas at pH 7 the delivery was observed for sulfate and GMP whereas the gate remained closed in the presence of ATP and phosphate. Selective delivery at neutral pH and no-liberation in acidic conditions can also be controlled with ATP and GMP using a suitable concentration of anion. The remarkable anion-controllable response of the gate-like ensemble at a certain pH can be explained in terms of anion complex formation with the tethered polyamines. Finally, selectivity patterns have been discussed in terms of kinetic rates of vitamin B2 release. The pH-controlled gate-like scaffoldings on S1 might be a suitable prototype for the development of orally applicable delivery systems designed to have the particular ability to protect the cargo from the acidic conditions of the stomach (acid pH, gate closed) but will release the load at the intestine (basic pH, gate open). \u00a9 2008 Elsevier B.V. All rights reserved.", "author" : [ { "dropping-particle" : "", "family" : "Bernardos", "given" : "Andrea", "non-dropping-particle" : "", "parse-names" : false, "suffix" : "" }, { "dropping-particle" : "", "family" : "Aznar", "given" : "Elena", "non-dropping-particle" : "", "parse-names" : false, "suffix" : "" }, { "dropping-particle" : "", "family" : "Coll", "given" : "Carmen", "non-dropping-particle" : "", "parse-names" : false, "suffix" : "" }, { "dropping-particle" : "", "family" : "Mart\u00ednez-Ma\u00f1ez", "given" : "Ram\u00f3n", "non-dropping-particle" : "", "parse-names" : false, "suffix" : "" }, { "dropping-particle" : "", "family" : "Barat", "given" : "Jose Manuel", "non-dropping-particle" : "", "parse-names" : false, "suffix" : "" }, { "dropping-particle" : "", "family" : "Marcos", "given" : "Ma Dolores", "non-dropping-particle" : "", "parse-names" : false, "suffix" : "" }, { "dropping-particle" : "", "family" : "Sancen\u00f3n", "given" : "F\u00e9lix", "non-dropping-particle" : "", "parse-names" : false, "suffix" : "" }, { "dropping-particle" : "", "family" : "Benito", "given" : "Angel", "non-dropping-particle" : "", "parse-names" : false, "suffix" : "" }, { "dropping-particle" : "", "family" : "Soto", "given" : "Juan", "non-dropping-particle" : "", "parse-names" : false, "suffix" : "" } ], "container-title" : "Journal of Controlled Release", "id" : "ITEM-1", "issue" : "3", "issued" : { "date-parts" : [ [ "2008" ] ] }, "page" : "181-189", "publisher" : "Elsevier B.V.", "title" : "Controlled release of vitamin B2 using mesoporous materials functionalized with amine-bearing gate-like scaffoldings", "type" : "article-journal", "volume" : "131" }, "uris" : [ "http://www.mendeley.com/documents/?uuid=a8605c61-f2ce-4cbf-9e63-2559d723bcfa" ] } ], "mendeley" : { "formattedCitation" : "(Bernardos et al. 2008)", "plainTextFormattedCitation" : "(Bernardos et al. 2008)", "previouslyFormattedCitation" : "(Bernardos et al. 2008)" }, "properties" : { "noteIndex" : 0 }, "schema" : "https://github.com/citation-style-language/schema/raw/master/csl-citation.json" }</w:instrText>
      </w:r>
      <w:r w:rsidR="00482127">
        <w:rPr>
          <w:rFonts w:eastAsia="Times New Roman"/>
          <w:lang w:val="es-ES"/>
        </w:rPr>
        <w:fldChar w:fldCharType="separate"/>
      </w:r>
      <w:r w:rsidRPr="00BE6B0B">
        <w:rPr>
          <w:rFonts w:eastAsia="Times New Roman"/>
          <w:noProof/>
          <w:lang w:val="es-ES"/>
        </w:rPr>
        <w:t>(Bernardos et al. 2008)</w:t>
      </w:r>
      <w:r w:rsidR="00482127">
        <w:rPr>
          <w:rFonts w:eastAsia="Times New Roman"/>
          <w:lang w:val="es-ES"/>
        </w:rPr>
        <w:fldChar w:fldCharType="end"/>
      </w:r>
      <w:r>
        <w:rPr>
          <w:rFonts w:eastAsia="Times New Roman"/>
          <w:lang w:val="es-ES"/>
        </w:rPr>
        <w:t>.</w:t>
      </w:r>
    </w:p>
    <w:p w:rsidR="005A6063" w:rsidRDefault="005A6063" w:rsidP="00234195">
      <w:pPr>
        <w:spacing w:after="0" w:line="240" w:lineRule="auto"/>
        <w:rPr>
          <w:rFonts w:eastAsia="Times New Roman"/>
          <w:lang w:val="es-ES"/>
        </w:rPr>
      </w:pPr>
    </w:p>
    <w:p w:rsidR="00332497" w:rsidRDefault="009531E1" w:rsidP="005A6063">
      <w:pPr>
        <w:pStyle w:val="Heading2"/>
      </w:pPr>
      <w:bookmarkStart w:id="31" w:name="_Toc428350210"/>
      <w:bookmarkStart w:id="32" w:name="_Toc428350267"/>
      <w:bookmarkStart w:id="33" w:name="_Toc429397057"/>
      <w:r w:rsidRPr="00175A0B">
        <w:t xml:space="preserve">Ensayo de </w:t>
      </w:r>
      <w:r w:rsidRPr="005A6063">
        <w:t>liberación</w:t>
      </w:r>
      <w:bookmarkEnd w:id="31"/>
      <w:bookmarkEnd w:id="32"/>
      <w:bookmarkEnd w:id="33"/>
    </w:p>
    <w:p w:rsidR="009531E1" w:rsidRDefault="009531E1" w:rsidP="005A6063">
      <w:pPr>
        <w:pStyle w:val="Heading3"/>
      </w:pPr>
      <w:bookmarkStart w:id="34" w:name="_Toc428350211"/>
      <w:bookmarkStart w:id="35" w:name="_Toc428350268"/>
      <w:bookmarkStart w:id="36" w:name="_Toc429397058"/>
      <w:r w:rsidRPr="009C70C4">
        <w:t>Liberación d</w:t>
      </w:r>
      <w:r w:rsidR="00332497">
        <w:t>e los sólidos sin funcionalizar</w:t>
      </w:r>
      <w:bookmarkEnd w:id="34"/>
      <w:bookmarkEnd w:id="35"/>
      <w:bookmarkEnd w:id="36"/>
    </w:p>
    <w:p w:rsidR="009531E1" w:rsidRDefault="009531E1" w:rsidP="00234195">
      <w:pPr>
        <w:spacing w:after="0" w:line="240" w:lineRule="auto"/>
        <w:rPr>
          <w:lang w:val="es-ES"/>
        </w:rPr>
      </w:pPr>
      <w:r w:rsidRPr="009C70C4">
        <w:rPr>
          <w:lang w:val="es-ES"/>
        </w:rPr>
        <w:t>A 30g del sólido cargado se le realizó un prelavado añadiendo 1mL de ACN. Durante 2</w:t>
      </w:r>
      <w:r>
        <w:rPr>
          <w:lang w:val="es-ES"/>
        </w:rPr>
        <w:t xml:space="preserve"> </w:t>
      </w:r>
      <w:r w:rsidRPr="009C70C4">
        <w:rPr>
          <w:lang w:val="es-ES"/>
        </w:rPr>
        <w:t xml:space="preserve">minutos los eppendorf se centrifugaron a 8000rpm. </w:t>
      </w:r>
      <w:r w:rsidR="00532F9D">
        <w:rPr>
          <w:lang w:val="es-ES"/>
        </w:rPr>
        <w:br/>
      </w:r>
      <w:r w:rsidRPr="009C70C4">
        <w:rPr>
          <w:lang w:val="es-ES"/>
        </w:rPr>
        <w:t>El sobrenadante se guardó en un vial y</w:t>
      </w:r>
      <w:r w:rsidR="00AE74B2">
        <w:rPr>
          <w:lang w:val="es-ES"/>
        </w:rPr>
        <w:t xml:space="preserve"> se</w:t>
      </w:r>
      <w:r w:rsidRPr="009C70C4">
        <w:rPr>
          <w:lang w:val="es-ES"/>
        </w:rPr>
        <w:t xml:space="preserve"> refrigeró, para posterior análisis en HPLC.</w:t>
      </w:r>
      <w:r w:rsidR="00F94747">
        <w:rPr>
          <w:lang w:val="es-ES"/>
        </w:rPr>
        <w:t xml:space="preserve"> </w:t>
      </w:r>
      <w:r w:rsidRPr="009C70C4">
        <w:rPr>
          <w:lang w:val="es-ES"/>
        </w:rPr>
        <w:t>Tras el prelavado, el sólido se secó en estufa a 40ºC durante 10minutos. El sólido seco y prelavado se puso en un vial al que se le añadieron 12mL de ACN. Se mantuvo en agitación durante 2h</w:t>
      </w:r>
      <w:r>
        <w:rPr>
          <w:lang w:val="es-ES"/>
        </w:rPr>
        <w:t xml:space="preserve"> y se obtuvo u</w:t>
      </w:r>
      <w:r w:rsidRPr="009C70C4">
        <w:rPr>
          <w:lang w:val="es-ES"/>
        </w:rPr>
        <w:t xml:space="preserve">na </w:t>
      </w:r>
      <w:r>
        <w:rPr>
          <w:lang w:val="es-ES"/>
        </w:rPr>
        <w:t xml:space="preserve">primera </w:t>
      </w:r>
      <w:r>
        <w:rPr>
          <w:lang w:val="es-ES"/>
        </w:rPr>
        <w:lastRenderedPageBreak/>
        <w:t>muestra</w:t>
      </w:r>
      <w:r w:rsidRPr="009C70C4">
        <w:rPr>
          <w:lang w:val="es-ES"/>
        </w:rPr>
        <w:t xml:space="preserve">, </w:t>
      </w:r>
      <w:r>
        <w:rPr>
          <w:lang w:val="es-ES"/>
        </w:rPr>
        <w:t>a los</w:t>
      </w:r>
      <w:r w:rsidRPr="009C70C4">
        <w:rPr>
          <w:lang w:val="es-ES"/>
        </w:rPr>
        <w:t xml:space="preserve"> 30</w:t>
      </w:r>
      <w:r>
        <w:rPr>
          <w:lang w:val="es-ES"/>
        </w:rPr>
        <w:t xml:space="preserve"> </w:t>
      </w:r>
      <w:r w:rsidRPr="009C70C4">
        <w:rPr>
          <w:lang w:val="es-ES"/>
        </w:rPr>
        <w:t>min</w:t>
      </w:r>
      <w:r>
        <w:rPr>
          <w:lang w:val="es-ES"/>
        </w:rPr>
        <w:t>utos</w:t>
      </w:r>
      <w:r w:rsidRPr="009C70C4">
        <w:rPr>
          <w:lang w:val="es-ES"/>
        </w:rPr>
        <w:t xml:space="preserve"> de liberación y la muestra final </w:t>
      </w:r>
      <w:r>
        <w:rPr>
          <w:lang w:val="es-ES"/>
        </w:rPr>
        <w:t xml:space="preserve">tras los </w:t>
      </w:r>
      <w:r w:rsidRPr="009C70C4">
        <w:rPr>
          <w:lang w:val="es-ES"/>
        </w:rPr>
        <w:t>120</w:t>
      </w:r>
      <w:r>
        <w:rPr>
          <w:lang w:val="es-ES"/>
        </w:rPr>
        <w:t xml:space="preserve"> </w:t>
      </w:r>
      <w:r w:rsidRPr="009C70C4">
        <w:rPr>
          <w:lang w:val="es-ES"/>
        </w:rPr>
        <w:t>min</w:t>
      </w:r>
      <w:r>
        <w:rPr>
          <w:lang w:val="es-ES"/>
        </w:rPr>
        <w:t>utos,</w:t>
      </w:r>
      <w:r w:rsidRPr="009C70C4">
        <w:rPr>
          <w:lang w:val="es-ES"/>
        </w:rPr>
        <w:t xml:space="preserve"> se filtraron y reservaron para análisis por HPLC.</w:t>
      </w:r>
    </w:p>
    <w:p w:rsidR="00BB5CE9" w:rsidRDefault="00BB5CE9" w:rsidP="00234195">
      <w:pPr>
        <w:spacing w:after="0" w:line="240" w:lineRule="auto"/>
        <w:rPr>
          <w:lang w:val="es-ES"/>
        </w:rPr>
      </w:pPr>
    </w:p>
    <w:p w:rsidR="009531E1" w:rsidRDefault="00332497" w:rsidP="005A6063">
      <w:pPr>
        <w:pStyle w:val="Heading3"/>
      </w:pPr>
      <w:bookmarkStart w:id="37" w:name="_Toc428350212"/>
      <w:bookmarkStart w:id="38" w:name="_Toc428350269"/>
      <w:bookmarkStart w:id="39" w:name="_Toc429397059"/>
      <w:r>
        <w:t>Ensayo de liberación con puerta</w:t>
      </w:r>
      <w:bookmarkEnd w:id="37"/>
      <w:bookmarkEnd w:id="38"/>
      <w:bookmarkEnd w:id="39"/>
    </w:p>
    <w:p w:rsidR="009531E1" w:rsidRDefault="009531E1" w:rsidP="00234195">
      <w:pPr>
        <w:spacing w:after="0" w:line="240" w:lineRule="auto"/>
        <w:rPr>
          <w:lang w:val="es-ES"/>
        </w:rPr>
      </w:pPr>
      <w:r w:rsidRPr="00650299">
        <w:rPr>
          <w:lang w:val="es-ES"/>
        </w:rPr>
        <w:t>Se introdujeron 30mg del sólido con la puerta pegada en un vial al que se le añadieron 12mL de agua a pH 7. La misma prueba se realizó añadiendo agua a pH 2.0 en lugar de 7; Esta mezcla se mantuvo en agitación, y se tomaron muestras para analizar a los 30 y a los 120 minutos.</w:t>
      </w:r>
    </w:p>
    <w:p w:rsidR="00BB5CE9" w:rsidRPr="009C70C4" w:rsidRDefault="00BB5CE9" w:rsidP="00234195">
      <w:pPr>
        <w:spacing w:after="0" w:line="240" w:lineRule="auto"/>
        <w:rPr>
          <w:lang w:val="es-ES"/>
        </w:rPr>
      </w:pPr>
    </w:p>
    <w:p w:rsidR="009531E1" w:rsidRDefault="00332497" w:rsidP="005A6063">
      <w:pPr>
        <w:pStyle w:val="Heading2"/>
      </w:pPr>
      <w:bookmarkStart w:id="40" w:name="_Toc428350213"/>
      <w:bookmarkStart w:id="41" w:name="_Toc428350270"/>
      <w:bookmarkStart w:id="42" w:name="_Toc429397060"/>
      <w:r>
        <w:t xml:space="preserve">Método de </w:t>
      </w:r>
      <w:r w:rsidRPr="005A6063">
        <w:t>detección</w:t>
      </w:r>
      <w:r>
        <w:t xml:space="preserve"> y cuantificación de DADS</w:t>
      </w:r>
      <w:bookmarkEnd w:id="40"/>
      <w:bookmarkEnd w:id="41"/>
      <w:bookmarkEnd w:id="42"/>
    </w:p>
    <w:p w:rsidR="009531E1" w:rsidRDefault="009531E1" w:rsidP="00234195">
      <w:pPr>
        <w:spacing w:after="0" w:line="240" w:lineRule="auto"/>
        <w:ind w:firstLine="284"/>
        <w:rPr>
          <w:lang w:val="es-ES"/>
        </w:rPr>
      </w:pPr>
      <w:r w:rsidRPr="009C70C4">
        <w:rPr>
          <w:lang w:val="es-ES"/>
        </w:rPr>
        <w:t>Se desarrolló un método</w:t>
      </w:r>
      <w:r w:rsidR="00332497">
        <w:rPr>
          <w:lang w:val="es-ES"/>
        </w:rPr>
        <w:t xml:space="preserve"> de cromatografía líquida, HPLC</w:t>
      </w:r>
      <w:r w:rsidR="00532F9D">
        <w:rPr>
          <w:lang w:val="es-ES"/>
        </w:rPr>
        <w:t>,</w:t>
      </w:r>
      <w:r w:rsidRPr="009C70C4">
        <w:rPr>
          <w:lang w:val="es-ES"/>
        </w:rPr>
        <w:t xml:space="preserve"> para la detección del DADS, empleando un sistema en fase reversa con columna C18, detección UV</w:t>
      </w:r>
      <w:r w:rsidR="003D1BEB">
        <w:rPr>
          <w:lang w:val="es-ES"/>
        </w:rPr>
        <w:t xml:space="preserve"> a 240nm </w:t>
      </w:r>
      <w:r w:rsidRPr="009C70C4">
        <w:rPr>
          <w:lang w:val="es-ES"/>
        </w:rPr>
        <w:t xml:space="preserve"> y fase móvil en gradiente</w:t>
      </w:r>
      <w:r w:rsidR="003D1BEB">
        <w:rPr>
          <w:lang w:val="es-ES"/>
        </w:rPr>
        <w:t xml:space="preserve"> de agua:acetonitrilo a un flujo de 0.6ml/min</w:t>
      </w:r>
      <w:r w:rsidRPr="009C70C4">
        <w:rPr>
          <w:lang w:val="es-ES"/>
        </w:rPr>
        <w:t xml:space="preserve">. </w:t>
      </w:r>
      <w:r w:rsidR="00332497" w:rsidRPr="009C70C4">
        <w:rPr>
          <w:lang w:val="es-ES"/>
        </w:rPr>
        <w:t>El HPLC se calibró mediante una recta patrón generada a partir de c</w:t>
      </w:r>
      <w:r w:rsidR="003D1BEB">
        <w:rPr>
          <w:lang w:val="es-ES"/>
        </w:rPr>
        <w:t>inco diluciones de DADS en ACN.</w:t>
      </w:r>
    </w:p>
    <w:p w:rsidR="00BB5CE9" w:rsidRPr="009C70C4" w:rsidRDefault="00BB5CE9" w:rsidP="00234195">
      <w:pPr>
        <w:spacing w:after="0" w:line="240" w:lineRule="auto"/>
        <w:ind w:firstLine="284"/>
        <w:rPr>
          <w:lang w:val="es-ES"/>
        </w:rPr>
      </w:pPr>
    </w:p>
    <w:p w:rsidR="009531E1" w:rsidRDefault="00975F0B" w:rsidP="005A6063">
      <w:pPr>
        <w:pStyle w:val="Heading2"/>
        <w:rPr>
          <w:i/>
        </w:rPr>
      </w:pPr>
      <w:bookmarkStart w:id="43" w:name="_Toc428350214"/>
      <w:bookmarkStart w:id="44" w:name="_Toc428350271"/>
      <w:bookmarkStart w:id="45" w:name="_Toc429397061"/>
      <w:r>
        <w:t xml:space="preserve">Evaluación de la capacidad </w:t>
      </w:r>
      <w:r w:rsidRPr="005A6063">
        <w:t>biocida</w:t>
      </w:r>
      <w:r>
        <w:t xml:space="preserve"> del</w:t>
      </w:r>
      <w:r w:rsidR="00332497">
        <w:t xml:space="preserve"> DADS en </w:t>
      </w:r>
      <w:r w:rsidR="00332497" w:rsidRPr="00332497">
        <w:rPr>
          <w:i/>
        </w:rPr>
        <w:t>E. coli</w:t>
      </w:r>
      <w:bookmarkEnd w:id="43"/>
      <w:bookmarkEnd w:id="44"/>
      <w:bookmarkEnd w:id="45"/>
    </w:p>
    <w:p w:rsidR="009531E1" w:rsidRPr="009C70C4" w:rsidRDefault="009531E1" w:rsidP="00234195">
      <w:pPr>
        <w:spacing w:after="0" w:line="240" w:lineRule="auto"/>
        <w:rPr>
          <w:lang w:val="es-ES"/>
        </w:rPr>
      </w:pPr>
      <w:r w:rsidRPr="009C70C4">
        <w:rPr>
          <w:lang w:val="es-ES"/>
        </w:rPr>
        <w:t xml:space="preserve">A partir de una colonia aislada de un cultivo de </w:t>
      </w:r>
      <w:r w:rsidRPr="009C70C4">
        <w:rPr>
          <w:i/>
          <w:lang w:val="es-ES"/>
        </w:rPr>
        <w:t>E.coli</w:t>
      </w:r>
      <w:r w:rsidRPr="009C70C4">
        <w:rPr>
          <w:lang w:val="es-ES"/>
        </w:rPr>
        <w:t xml:space="preserve"> </w:t>
      </w:r>
      <w:r>
        <w:rPr>
          <w:lang w:val="es-ES"/>
        </w:rPr>
        <w:t>K-12</w:t>
      </w:r>
      <w:r w:rsidRPr="009C70C4">
        <w:rPr>
          <w:lang w:val="es-ES"/>
        </w:rPr>
        <w:t>, obtenida de una triple estría en PCA. Se hizo</w:t>
      </w:r>
      <w:r>
        <w:rPr>
          <w:lang w:val="es-ES"/>
        </w:rPr>
        <w:t xml:space="preserve"> un inó</w:t>
      </w:r>
      <w:r w:rsidRPr="009C70C4">
        <w:rPr>
          <w:lang w:val="es-ES"/>
        </w:rPr>
        <w:t>culo en un tubo de ensayo con 10 mL de caldo de cultivo TSB,</w:t>
      </w:r>
      <w:r>
        <w:rPr>
          <w:lang w:val="es-ES"/>
        </w:rPr>
        <w:t xml:space="preserve"> </w:t>
      </w:r>
      <w:r w:rsidRPr="009C70C4">
        <w:rPr>
          <w:lang w:val="es-ES"/>
        </w:rPr>
        <w:t>que se mantuvo a 37ºC durante 24h.</w:t>
      </w:r>
    </w:p>
    <w:p w:rsidR="009531E1" w:rsidRDefault="009531E1" w:rsidP="00234195">
      <w:pPr>
        <w:spacing w:after="0" w:line="240" w:lineRule="auto"/>
        <w:rPr>
          <w:lang w:val="es-ES"/>
        </w:rPr>
      </w:pPr>
      <w:r w:rsidRPr="009C70C4">
        <w:rPr>
          <w:lang w:val="es-ES"/>
        </w:rPr>
        <w:t xml:space="preserve">Matraces con 15mL de TSB fueron inoculados con </w:t>
      </w:r>
      <w:r w:rsidRPr="009C70C4">
        <w:rPr>
          <w:i/>
          <w:lang w:val="es-ES"/>
        </w:rPr>
        <w:t>E. coli</w:t>
      </w:r>
      <w:r w:rsidRPr="009C70C4">
        <w:rPr>
          <w:lang w:val="es-ES"/>
        </w:rPr>
        <w:t xml:space="preserve"> previamente</w:t>
      </w:r>
      <w:r>
        <w:rPr>
          <w:lang w:val="es-ES"/>
        </w:rPr>
        <w:t xml:space="preserve"> cultivado, a los cuales se les adicionó una solución</w:t>
      </w:r>
      <w:r w:rsidRPr="009C70C4">
        <w:rPr>
          <w:lang w:val="es-ES"/>
        </w:rPr>
        <w:t xml:space="preserve"> de DADS </w:t>
      </w:r>
      <w:r>
        <w:rPr>
          <w:lang w:val="es-ES"/>
        </w:rPr>
        <w:t xml:space="preserve">con y sin </w:t>
      </w:r>
      <w:r w:rsidRPr="009C70C4">
        <w:rPr>
          <w:lang w:val="es-ES"/>
        </w:rPr>
        <w:t>DMSO</w:t>
      </w:r>
      <w:r>
        <w:rPr>
          <w:lang w:val="es-ES"/>
        </w:rPr>
        <w:t xml:space="preserve"> en diferentes concentraciones: 0.25, 0.5, 1, 2,</w:t>
      </w:r>
      <w:r w:rsidRPr="009C70C4">
        <w:rPr>
          <w:lang w:val="es-ES"/>
        </w:rPr>
        <w:t xml:space="preserve"> 3</w:t>
      </w:r>
      <w:r>
        <w:rPr>
          <w:lang w:val="es-ES"/>
        </w:rPr>
        <w:t xml:space="preserve">, 4, 5, 6, 50 y 100 </w:t>
      </w:r>
      <w:r w:rsidRPr="009C70C4">
        <w:rPr>
          <w:lang w:val="es-ES"/>
        </w:rPr>
        <w:t>mg</w:t>
      </w:r>
      <w:r>
        <w:rPr>
          <w:lang w:val="es-ES"/>
        </w:rPr>
        <w:t xml:space="preserve"> DADS</w:t>
      </w:r>
      <w:r w:rsidRPr="009C70C4">
        <w:rPr>
          <w:lang w:val="es-ES"/>
        </w:rPr>
        <w:t>/ml</w:t>
      </w:r>
      <w:r>
        <w:rPr>
          <w:lang w:val="es-ES"/>
        </w:rPr>
        <w:t xml:space="preserve"> TSB, cercanas al rango de CMI para otras cepas de </w:t>
      </w:r>
      <w:r w:rsidRPr="00F63293">
        <w:rPr>
          <w:i/>
          <w:lang w:val="es-ES"/>
        </w:rPr>
        <w:t>E.coli</w:t>
      </w:r>
      <w:r>
        <w:rPr>
          <w:lang w:val="es-ES"/>
        </w:rPr>
        <w:t xml:space="preserve"> </w:t>
      </w:r>
      <w:r w:rsidR="00482127" w:rsidRPr="0045707D">
        <w:rPr>
          <w:lang w:val="es-ES"/>
        </w:rPr>
        <w:fldChar w:fldCharType="begin" w:fldLock="1"/>
      </w:r>
      <w:r w:rsidR="004545C6">
        <w:rPr>
          <w:lang w:val="es-ES"/>
        </w:rPr>
        <w:instrText>ADDIN CSL_CITATION { "citationItems" : [ { "id" : "ITEM-1", "itemData" : { "DOI" : "10.1271/bbb.80482", "ISBN" : "0916-8451", "ISSN" : "0916-8451", "PMID" : "18997412", "abstract" : "Chives, a member of the Alliaceae family, have been used in food and medicine in Thailand for a long time. Diallyl sulfides (diallyl monosulfide, dially disulfide, diallyl trisulfide, and diallyl tetrasulfide) are believed to be responsible for the antimicrobial activity of plants in this family. In this study, chive oil was examined for its diallyl sulfide content and its antimicrobial activity against some strains of food-borne pathogenic bacteria. Chive oil had a very low concentration of diallyl monosulfide in comparison with the other diallyl sulfides. They inhibited all pathogenic bacteria used in this study with a different degree of inhibition. Chive oil was also shown to be able to inhibit Escherichia coli O157:H7 in a food model. This study is the first report describing not only the diallyl disulfide content of chive oil, but also its antimicrobial activity against food-borne pathogens in both a test tube and food model.", "author" : [ { "dropping-particle" : "", "family" : "Rattanachaikunsopon", "given" : "Pongsak", "non-dropping-particle" : "", "parse-names" : false, "suffix" : "" }, { "dropping-particle" : "", "family" : "Phumkhachorn", "given" : "Parichat", "non-dropping-particle" : "", "parse-names" : false, "suffix" : "" } ], "container-title" : "Bioscience, biotechnology, and biochemistry", "id" : "ITEM-1", "issue" : "11", "issued" : { "date-parts" : [ [ "2008" ] ] }, "page" : "2987-2991", "title" : "Diallyl sulfide content and antimicrobial activity against food-borne pathogenic bacteria of chives (Allium schoenoprasum).", "type" : "article-journal", "volume" : "72" }, "uris" : [ "http://www.mendeley.com/documents/?uuid=f9196abc-ae40-42ab-82f4-af57467e2933" ] }, { "id" : "ITEM-2", "itemData" : { "DOI" : "10.1016/S0309-1740(02)00047-5", "ISBN" : "8864247300", "ISSN" : "03091740", "PMID" : "22061980", "abstract" : "The antioxidant and antimicrobial protection of diallyl sulfide (DAS), diallyl disulfide (DADS), s-ethyl cysteine (SEC), n-acetyl cysteine (NAC) in ground beef against discoloration, lipid oxidation and microbial contamination were studied. The exogenous addition of these garlic-derived organosulfur compounds significantly delayed both oxymyoglobin and lipid oxidations (P&lt;0.05). The antioxidant protection from these organosulfur compounds was dose-dependent (P&lt;0.05), and showed significantly greater antioxidant activity than \u03b1-tocopherol (P&lt;0.05). The presence of DAS and DADS in ground beef significantly reduced total aerobes and inhibited the growth of five inoculated pathogenic bacteria, Salmonella typhimurium, Escherichia coli O157:H7, Listeria monocytogenes, Staphyllococcus aureus and Campylobacter jejuni (P&lt;0.05). These results suggested the application of these organosulfur compounds in meat or other food systems could enhance color, lipid and microbial safety.", "author" : [ { "dropping-particle" : "", "family" : "Yin", "given" : "Mei-chin", "non-dropping-particle" : "", "parse-names" : false, "suffix" : "" }, { "dropping-particle" : "", "family" : "Cheng", "given" : "Wen-shen", "non-dropping-particle" : "", "parse-names" : false, "suffix" : "" } ], "container-title" : "Meat Science", "id" : "ITEM-2", "issue" : "1", "issued" : { "date-parts" : [ [ "2003" ] ] }, "page" : "23-28", "title" : "Antioxidant and antimicrobial effects of four garlic-derived organosulfur compounds in ground beef", "type" : "article-journal", "volume" : "63" }, "uris" : [ "http://www.mendeley.com/documents/?uuid=b950fd1b-ae8b-4019-8a02-dac0c7cea455" ] } ], "mendeley" : { "formattedCitation" : "(Pongsak Rattanachaikunsopon and Phumkhachorn 2008; Yin and Cheng 2003)", "plainTextFormattedCitation" : "(Pongsak Rattanachaikunsopon and Phumkhachorn 2008; Yin and Cheng 2003)", "previouslyFormattedCitation" : "(Pongsak Rattanachaikunsopon and Phumkhachorn 2008; Yin and Cheng 2003)" }, "properties" : { "noteIndex" : 0 }, "schema" : "https://github.com/citation-style-language/schema/raw/master/csl-citation.json" }</w:instrText>
      </w:r>
      <w:r w:rsidR="00482127" w:rsidRPr="0045707D">
        <w:rPr>
          <w:lang w:val="es-ES"/>
        </w:rPr>
        <w:fldChar w:fldCharType="separate"/>
      </w:r>
      <w:r w:rsidR="0045707D" w:rsidRPr="0045707D">
        <w:rPr>
          <w:noProof/>
          <w:lang w:val="es-ES"/>
        </w:rPr>
        <w:t xml:space="preserve">(Pongsak Rattanachaikunsopon </w:t>
      </w:r>
      <w:r w:rsidR="00F83064">
        <w:rPr>
          <w:noProof/>
          <w:lang w:val="es-ES"/>
        </w:rPr>
        <w:t>y</w:t>
      </w:r>
      <w:r w:rsidR="0045707D" w:rsidRPr="0045707D">
        <w:rPr>
          <w:noProof/>
          <w:lang w:val="es-ES"/>
        </w:rPr>
        <w:t xml:space="preserve"> Phumkhachorn 2008; Yin </w:t>
      </w:r>
      <w:r w:rsidR="00F83064">
        <w:rPr>
          <w:noProof/>
          <w:lang w:val="es-ES"/>
        </w:rPr>
        <w:t>y</w:t>
      </w:r>
      <w:r w:rsidR="0045707D" w:rsidRPr="0045707D">
        <w:rPr>
          <w:noProof/>
          <w:lang w:val="es-ES"/>
        </w:rPr>
        <w:t xml:space="preserve"> Cheng 2003)</w:t>
      </w:r>
      <w:r w:rsidR="00482127" w:rsidRPr="0045707D">
        <w:rPr>
          <w:lang w:val="es-ES"/>
        </w:rPr>
        <w:fldChar w:fldCharType="end"/>
      </w:r>
      <w:r w:rsidRPr="0045707D">
        <w:rPr>
          <w:lang w:val="es-ES"/>
        </w:rPr>
        <w:t>.</w:t>
      </w:r>
      <w:r w:rsidRPr="009C70C4">
        <w:rPr>
          <w:lang w:val="es-ES"/>
        </w:rPr>
        <w:t xml:space="preserve"> Adicional</w:t>
      </w:r>
      <w:r>
        <w:rPr>
          <w:lang w:val="es-ES"/>
        </w:rPr>
        <w:t>mente</w:t>
      </w:r>
      <w:r w:rsidRPr="009C70C4">
        <w:rPr>
          <w:lang w:val="es-ES"/>
        </w:rPr>
        <w:t xml:space="preserve"> al rango de concentraciones evaluadas de DADS, se realizó un control </w:t>
      </w:r>
      <w:r>
        <w:rPr>
          <w:lang w:val="es-ES"/>
        </w:rPr>
        <w:t xml:space="preserve">doble </w:t>
      </w:r>
      <w:r w:rsidRPr="009C70C4">
        <w:rPr>
          <w:lang w:val="es-ES"/>
        </w:rPr>
        <w:t>positivo (sin DADS</w:t>
      </w:r>
      <w:r>
        <w:rPr>
          <w:lang w:val="es-ES"/>
        </w:rPr>
        <w:t xml:space="preserve"> ni DMSO</w:t>
      </w:r>
      <w:r w:rsidRPr="009C70C4">
        <w:rPr>
          <w:lang w:val="es-ES"/>
        </w:rPr>
        <w:t>)</w:t>
      </w:r>
      <w:r>
        <w:rPr>
          <w:lang w:val="es-ES"/>
        </w:rPr>
        <w:t>, otro positivo (sin DADS)</w:t>
      </w:r>
      <w:r w:rsidRPr="009C70C4">
        <w:rPr>
          <w:lang w:val="es-ES"/>
        </w:rPr>
        <w:t xml:space="preserve"> y </w:t>
      </w:r>
      <w:r>
        <w:rPr>
          <w:lang w:val="es-ES"/>
        </w:rPr>
        <w:t xml:space="preserve">un tercero </w:t>
      </w:r>
      <w:r w:rsidRPr="009C70C4">
        <w:rPr>
          <w:lang w:val="es-ES"/>
        </w:rPr>
        <w:t xml:space="preserve">negativo (sin inóculo). Cada concentración y control se </w:t>
      </w:r>
      <w:r>
        <w:rPr>
          <w:lang w:val="es-ES"/>
        </w:rPr>
        <w:t xml:space="preserve">incubó </w:t>
      </w:r>
      <w:r w:rsidRPr="009C70C4">
        <w:rPr>
          <w:lang w:val="es-ES"/>
        </w:rPr>
        <w:t xml:space="preserve">por duplicado. </w:t>
      </w:r>
      <w:r>
        <w:rPr>
          <w:lang w:val="es-ES"/>
        </w:rPr>
        <w:t>L</w:t>
      </w:r>
      <w:r w:rsidRPr="009C70C4">
        <w:rPr>
          <w:lang w:val="es-ES"/>
        </w:rPr>
        <w:t xml:space="preserve">os matraces </w:t>
      </w:r>
      <w:r>
        <w:rPr>
          <w:lang w:val="es-ES"/>
        </w:rPr>
        <w:t xml:space="preserve">se mantuvieron </w:t>
      </w:r>
      <w:r w:rsidRPr="009C70C4">
        <w:rPr>
          <w:lang w:val="es-ES"/>
        </w:rPr>
        <w:t>a 37ºC en agitación a 180rpm  durante 24h</w:t>
      </w:r>
      <w:r>
        <w:rPr>
          <w:lang w:val="es-ES"/>
        </w:rPr>
        <w:t>.</w:t>
      </w:r>
      <w:r w:rsidRPr="009C70C4">
        <w:rPr>
          <w:lang w:val="es-ES"/>
        </w:rPr>
        <w:t xml:space="preserve"> </w:t>
      </w:r>
      <w:r>
        <w:rPr>
          <w:lang w:val="es-ES"/>
        </w:rPr>
        <w:t>Una vez completada la incubación,</w:t>
      </w:r>
      <w:r w:rsidRPr="009C70C4">
        <w:rPr>
          <w:lang w:val="es-ES"/>
        </w:rPr>
        <w:t xml:space="preserve"> se sembraron hasta 4 diluciones de cada concentración en placas de TBX. Tras incubarse durante 24h a 37ºC se realizó el rec</w:t>
      </w:r>
      <w:r>
        <w:rPr>
          <w:lang w:val="es-ES"/>
        </w:rPr>
        <w:t>u</w:t>
      </w:r>
      <w:r w:rsidRPr="009C70C4">
        <w:rPr>
          <w:lang w:val="es-ES"/>
        </w:rPr>
        <w:t>ento de UFC y se aproximó la CMI.</w:t>
      </w:r>
    </w:p>
    <w:p w:rsidR="00BB5CE9" w:rsidRDefault="00BB5CE9" w:rsidP="00234195">
      <w:pPr>
        <w:spacing w:after="0" w:line="240" w:lineRule="auto"/>
        <w:rPr>
          <w:lang w:val="es-ES"/>
        </w:rPr>
      </w:pPr>
    </w:p>
    <w:p w:rsidR="009531E1" w:rsidRDefault="00332497" w:rsidP="005A6063">
      <w:pPr>
        <w:pStyle w:val="Heading3"/>
      </w:pPr>
      <w:bookmarkStart w:id="46" w:name="_Toc428350215"/>
      <w:bookmarkStart w:id="47" w:name="_Toc428350272"/>
      <w:bookmarkStart w:id="48" w:name="_Toc429397062"/>
      <w:r>
        <w:t>E</w:t>
      </w:r>
      <w:r w:rsidR="009531E1" w:rsidRPr="009C70C4">
        <w:t>nsayo de inhibición del DADS encapsulado</w:t>
      </w:r>
      <w:bookmarkEnd w:id="46"/>
      <w:bookmarkEnd w:id="47"/>
      <w:bookmarkEnd w:id="48"/>
    </w:p>
    <w:p w:rsidR="00532F9D" w:rsidRDefault="00532F9D" w:rsidP="00234195">
      <w:pPr>
        <w:spacing w:after="0" w:line="240" w:lineRule="auto"/>
        <w:rPr>
          <w:lang w:val="es-ES"/>
        </w:rPr>
      </w:pPr>
      <w:r>
        <w:rPr>
          <w:lang w:val="es-ES"/>
        </w:rPr>
        <w:t xml:space="preserve">50mg de sólido se dispusieron en los 15 ml de medio TSB inoculado, </w:t>
      </w:r>
      <w:r w:rsidRPr="009C70C4">
        <w:rPr>
          <w:lang w:val="es-ES"/>
        </w:rPr>
        <w:t>que se mantuvo a 37ºC durante 24h</w:t>
      </w:r>
      <w:r>
        <w:rPr>
          <w:lang w:val="es-ES"/>
        </w:rPr>
        <w:t xml:space="preserve"> </w:t>
      </w:r>
      <w:r w:rsidRPr="009C70C4">
        <w:rPr>
          <w:lang w:val="es-ES"/>
        </w:rPr>
        <w:t>en agitación a 180rpm</w:t>
      </w:r>
      <w:r>
        <w:rPr>
          <w:lang w:val="es-ES"/>
        </w:rPr>
        <w:t>.</w:t>
      </w:r>
      <w:r w:rsidRPr="009C70C4">
        <w:rPr>
          <w:lang w:val="es-ES"/>
        </w:rPr>
        <w:t xml:space="preserve"> </w:t>
      </w:r>
      <w:r>
        <w:rPr>
          <w:lang w:val="es-ES"/>
        </w:rPr>
        <w:t>Una vez completada la incubación,</w:t>
      </w:r>
      <w:r w:rsidRPr="009C70C4">
        <w:rPr>
          <w:lang w:val="es-ES"/>
        </w:rPr>
        <w:t xml:space="preserve"> se sembraron hasta 4 diluciones de cada concentración en placas de TBX. Tras incubarse durante 24h a 37ºC se realizó el rec</w:t>
      </w:r>
      <w:r>
        <w:rPr>
          <w:lang w:val="es-ES"/>
        </w:rPr>
        <w:t>u</w:t>
      </w:r>
      <w:r w:rsidRPr="009C70C4">
        <w:rPr>
          <w:lang w:val="es-ES"/>
        </w:rPr>
        <w:t>ento de UFC</w:t>
      </w:r>
      <w:r>
        <w:rPr>
          <w:lang w:val="es-ES"/>
        </w:rPr>
        <w:t xml:space="preserve">. </w:t>
      </w:r>
    </w:p>
    <w:p w:rsidR="009531E1" w:rsidRDefault="009531E1" w:rsidP="00234195">
      <w:pPr>
        <w:spacing w:after="0" w:line="240" w:lineRule="auto"/>
        <w:rPr>
          <w:lang w:val="es-ES"/>
        </w:rPr>
      </w:pPr>
      <w:r w:rsidRPr="009C70C4">
        <w:rPr>
          <w:lang w:val="es-ES"/>
        </w:rPr>
        <w:t xml:space="preserve">Además de la evaluación del sólido cargado, se realizaron dos controles adicionales con sólido sin cargar a la mayor y a la menor concentración para comprobar si el sólido </w:t>
      </w:r>
      <w:r w:rsidRPr="009C70C4">
        <w:rPr>
          <w:i/>
          <w:lang w:val="es-ES"/>
        </w:rPr>
        <w:t xml:space="preserve">per se </w:t>
      </w:r>
      <w:r w:rsidRPr="009C70C4">
        <w:rPr>
          <w:lang w:val="es-ES"/>
        </w:rPr>
        <w:t xml:space="preserve">ejerce algún efecto en el crecimiento del microorganismo. Cada concentración y control se realizó por duplicado. </w:t>
      </w:r>
    </w:p>
    <w:p w:rsidR="003243DE" w:rsidRDefault="003243DE" w:rsidP="00234195">
      <w:pPr>
        <w:spacing w:after="0" w:line="240" w:lineRule="auto"/>
        <w:rPr>
          <w:lang w:val="es-ES"/>
        </w:rPr>
      </w:pPr>
    </w:p>
    <w:p w:rsidR="00EC386F" w:rsidRDefault="00EC386F" w:rsidP="005A6063">
      <w:pPr>
        <w:pStyle w:val="Heading1"/>
        <w:rPr>
          <w:lang w:val="es-ES"/>
        </w:rPr>
      </w:pPr>
      <w:bookmarkStart w:id="49" w:name="_Toc428350216"/>
      <w:bookmarkStart w:id="50" w:name="_Toc428350273"/>
      <w:bookmarkStart w:id="51" w:name="_Toc429397063"/>
      <w:r w:rsidRPr="00E65E02">
        <w:rPr>
          <w:lang w:val="es-ES"/>
        </w:rPr>
        <w:lastRenderedPageBreak/>
        <w:t xml:space="preserve">RESULTADOS Y </w:t>
      </w:r>
      <w:r w:rsidRPr="005A6063">
        <w:t>DISCUSIÓN</w:t>
      </w:r>
      <w:bookmarkEnd w:id="49"/>
      <w:bookmarkEnd w:id="50"/>
      <w:bookmarkEnd w:id="51"/>
    </w:p>
    <w:p w:rsidR="00BB5CE9" w:rsidRPr="00BB5CE9" w:rsidRDefault="00BB5CE9" w:rsidP="00234195">
      <w:pPr>
        <w:spacing w:after="0" w:line="240" w:lineRule="auto"/>
        <w:rPr>
          <w:lang w:val="es-ES"/>
        </w:rPr>
      </w:pPr>
    </w:p>
    <w:p w:rsidR="00EC386F" w:rsidRDefault="00EC386F" w:rsidP="005A6063">
      <w:pPr>
        <w:pStyle w:val="Heading2"/>
      </w:pPr>
      <w:bookmarkStart w:id="52" w:name="_Toc429397064"/>
      <w:r w:rsidRPr="005221B3">
        <w:t xml:space="preserve">Desarrollo de un método de </w:t>
      </w:r>
      <w:r w:rsidRPr="005A6063">
        <w:t>detección</w:t>
      </w:r>
      <w:r w:rsidRPr="00A80923">
        <w:t xml:space="preserve"> y</w:t>
      </w:r>
      <w:r w:rsidR="00B9214E">
        <w:t xml:space="preserve"> cuantificación de DADS</w:t>
      </w:r>
      <w:bookmarkEnd w:id="52"/>
    </w:p>
    <w:p w:rsidR="00EC386F" w:rsidRDefault="00EC386F" w:rsidP="00234195">
      <w:pPr>
        <w:spacing w:after="0" w:line="240" w:lineRule="auto"/>
        <w:rPr>
          <w:lang w:val="es-ES"/>
        </w:rPr>
      </w:pPr>
      <w:r w:rsidRPr="0051332A">
        <w:rPr>
          <w:lang w:val="es-ES"/>
        </w:rPr>
        <w:t xml:space="preserve">Si bien es cierto que la literatura reporta </w:t>
      </w:r>
      <w:r w:rsidR="00F60E94">
        <w:rPr>
          <w:lang w:val="es-ES"/>
        </w:rPr>
        <w:t>principalmente</w:t>
      </w:r>
      <w:r w:rsidRPr="0051332A">
        <w:rPr>
          <w:lang w:val="es-ES"/>
        </w:rPr>
        <w:t xml:space="preserve"> métodos de </w:t>
      </w:r>
      <w:r w:rsidR="00F60E94">
        <w:rPr>
          <w:lang w:val="es-ES"/>
        </w:rPr>
        <w:t xml:space="preserve"> detección por </w:t>
      </w:r>
      <w:r w:rsidRPr="0051332A">
        <w:rPr>
          <w:lang w:val="es-ES"/>
        </w:rPr>
        <w:t>cromatografía de gases (</w:t>
      </w:r>
      <w:r w:rsidRPr="00D84752">
        <w:rPr>
          <w:lang w:val="es-ES"/>
        </w:rPr>
        <w:t>CG)</w:t>
      </w:r>
      <w:r w:rsidR="00650299" w:rsidRPr="00D84752">
        <w:rPr>
          <w:lang w:val="es-ES"/>
        </w:rPr>
        <w:t xml:space="preserve"> </w:t>
      </w:r>
      <w:r w:rsidR="00482127" w:rsidRPr="00D84752">
        <w:rPr>
          <w:lang w:val="es-ES"/>
        </w:rPr>
        <w:fldChar w:fldCharType="begin" w:fldLock="1"/>
      </w:r>
      <w:r w:rsidR="0045707D">
        <w:rPr>
          <w:lang w:val="es-ES"/>
        </w:rPr>
        <w:instrText>ADDIN CSL_CITATION { "citationItems" : [ { "id" : "ITEM-1", "itemData" : { "DOI" : "10.1016/j.chroma.2005.12.016", "ISBN" : "0021-9673", "ISSN" : "00219673", "PMID" : "16388813", "abstract" : "Onion (Allium cepa L.) and garlic (Allium sativum L.), among the oldest cultivated plants, are used both as a food and for medicinal applications. In fact, these common food plants are a rich source of several phytonutrients recognized as important elements of the Mediterranean diet, but are also used in the treatment and prevention of a number of diseases, including cancer, coronary heart disease, obesity, hypercholesterolemia, diabetes type 2, hypertension, cataract and disturbances of the gastrointestinal tract (e.g. colic pain, flatulent colic and dyspepsia). These activities are related to the thiosulfinates, volatile sulfur compounds, which are also responsible for the pungent of these vegetables. Besides these low-molecular weight compounds, onion and garlic are characterized by more polar compounds of phenolic and steroidal origin, often glycosilated, showing interesting pharmacological properties. These latter compounds, compared to the more studied thiosulfinates, present the advantages to be not pungent and more stable to cooking. Recently, there has been an increasing scientific attention on such compounds. In this paper, the literature about the major volatile and non-volatile phytoconstituents of onion and garlic has been reviewed. Particular attention was given to the different methodology developed to perform chemical analysis, including separation and structural elucidation. ?? 2005 Elsevier B.V. All rights reserved.", "author" : [ { "dropping-particle" : "", "family" : "Lanzotti", "given" : "Virginia", "non-dropping-particle" : "", "parse-names" : false, "suffix" : "" } ], "container-title" : "Journal of Chromatography A", "id" : "ITEM-1", "issue" : "1-2", "issued" : { "date-parts" : [ [ "2006" ] ] }, "page" : "3-22", "title" : "The analysis of onion and garlic", "type" : "article-journal", "volume" : "1112" }, "uris" : [ "http://www.mendeley.com/documents/?uuid=71922745-17b9-4067-9e75-7bab53fc4f6a" ] }, { "id" : "ITEM-2", "itemData" : { "PMID" : "16819275", "abstract" : "A simple, rapid, and sensitive procedure has been developed using gas chromatography with electron-capture detection to measure diallyl trisulfide levels in rat blood. Blood samples were acidified, and the analyte was extracted with hexane, and then degradation was stopped with acetonitrile before gas chromatographic separation. Two calibration curves were linear over the range of 10-500 ng/ml and 0.2-20 microg/ml, with typical r values of 0.9986 and 0.9993, respectively. The structure of its major metabolite was confirmed using combined gas chromatography-mass spectrometry. The limit of detection was less than 10 ng/ml, and the assay was highly reproducible, giving peaks with excellent chromatographic properties. The method is suitable for pharmacokinetic and therapeutic purposes.", "author" : [ { "dropping-particle" : "", "family" : "Sun", "given" : "Xuehui", "non-dropping-particle" : "", "parse-names" : false, "suffix" : "" }, { "dropping-particle" : "", "family" : "Guo", "given" : "Tao", "non-dropping-particle" : "", "parse-names" : false, "suffix" : "" }, { "dropping-particle" : "", "family" : "He", "given" : "Jin", "non-dropping-particle" : "", "parse-names" : false, "suffix" : "" }, { "dropping-particle" : "", "family" : "Zhao", "given" : "Minghong", "non-dropping-particle" : "", "parse-names" : false, "suffix" : "" }, { "dropping-particle" : "", "family" : "Yan", "given" : "Ming", "non-dropping-particle" : "", "parse-names" : false, "suffix" : "" }, { "dropping-particle" : "", "family" : "Cui", "given" : "Fude", "non-dropping-particle" : "", "parse-names" : false, "suffix" : "" }, { "dropping-particle" : "", "family" : "Deng", "given" : "Yihui", "non-dropping-particle" : "", "parse-names" : false, "suffix" : "" } ], "container-title" : "Yakugaku zasshi : Journal of the Pharmaceutical Society of Japan", "id" : "ITEM-2", "issue" : "7", "issued" : { "date-parts" : [ [ "2006" ] ] }, "page" : "521-527", "title" : "Determination of the concentration of diallyl trisulfide in rat whole blood using gas chromatography with electron-capture detection and identification of its major metabolite with gas chromatography mass spectrometry.", "type" : "article-journal", "volume" : "126" }, "uris" : [ "http://www.mendeley.com/documents/?uuid=249f6f8b-8515-4ee4-a62c-070854b23539" ] } ], "mendeley" : { "formattedCitation" : "(Lanzotti 2006; Sun et al. 2006)", "plainTextFormattedCitation" : "(Lanzotti 2006; Sun et al. 2006)", "previouslyFormattedCitation" : "(Lanzotti 2006; Sun et al. 2006)" }, "properties" : { "noteIndex" : 0 }, "schema" : "https://github.com/citation-style-language/schema/raw/master/csl-citation.json" }</w:instrText>
      </w:r>
      <w:r w:rsidR="00482127" w:rsidRPr="00D84752">
        <w:rPr>
          <w:lang w:val="es-ES"/>
        </w:rPr>
        <w:fldChar w:fldCharType="separate"/>
      </w:r>
      <w:r w:rsidR="00D84752" w:rsidRPr="00D84752">
        <w:rPr>
          <w:noProof/>
          <w:lang w:val="es-ES"/>
        </w:rPr>
        <w:t>(Lanzotti 2006; Sun et al. 2006)</w:t>
      </w:r>
      <w:r w:rsidR="00482127" w:rsidRPr="00D84752">
        <w:rPr>
          <w:lang w:val="es-ES"/>
        </w:rPr>
        <w:fldChar w:fldCharType="end"/>
      </w:r>
      <w:r w:rsidR="00D84752" w:rsidRPr="00D84752">
        <w:rPr>
          <w:lang w:val="es-ES"/>
        </w:rPr>
        <w:t>.</w:t>
      </w:r>
      <w:r w:rsidRPr="0051332A">
        <w:rPr>
          <w:lang w:val="es-ES"/>
        </w:rPr>
        <w:t xml:space="preserve"> </w:t>
      </w:r>
      <w:r w:rsidR="00D84752">
        <w:rPr>
          <w:lang w:val="es-ES"/>
        </w:rPr>
        <w:t>L</w:t>
      </w:r>
      <w:r w:rsidRPr="0051332A">
        <w:rPr>
          <w:lang w:val="es-ES"/>
        </w:rPr>
        <w:t xml:space="preserve">a fácil </w:t>
      </w:r>
      <w:r w:rsidR="00F60E94">
        <w:rPr>
          <w:lang w:val="es-ES"/>
        </w:rPr>
        <w:t>degradación</w:t>
      </w:r>
      <w:r w:rsidRPr="0051332A">
        <w:rPr>
          <w:lang w:val="es-ES"/>
        </w:rPr>
        <w:t xml:space="preserve"> térmica de los compuestos presentes en el ajo hace que los métodos desarrollados mediante esta técnica requieran mayor desarrollo </w:t>
      </w:r>
      <w:r w:rsidR="00482127">
        <w:rPr>
          <w:lang w:val="es-ES"/>
        </w:rPr>
        <w:fldChar w:fldCharType="begin" w:fldLock="1"/>
      </w:r>
      <w:r w:rsidR="00F60E94">
        <w:rPr>
          <w:lang w:val="es-ES"/>
        </w:rPr>
        <w:instrText>ADDIN CSL_CITATION { "citationItems" : [ { "id" : "ITEM-1", "itemData" : { "author" : [ { "dropping-particle" : "", "family" : "Arnault", "given" : "I", "non-dropping-particle" : "", "parse-names" : false, "suffix" : "" }, { "dropping-particle" : "", "family" : "Mondy", "given" : "N", "non-dropping-particle" : "", "parse-names" : false, "suffix" : "" }, { "dropping-particle" : "", "family" : "Cadoux", "given" : "F", "non-dropping-particle" : "", "parse-names" : false, "suffix" : "" }, { "dropping-particle" : "", "family" : "Auger", "given" : "J", "non-dropping-particle" : "", "parse-names" : false, "suffix" : "" } ], "container-title" : "Journal of Chromatography A", "id" : "ITEM-1", "issue" : "1-2", "issued" : { "date-parts" : [ [ "2000" ] ] }, "page" : "117-124", "title" : "Possible interest of various sample transfer techniques for fast gas chromatography-mass spectrometric analysis of ture onion volatiles", "type" : "article-journal", "volume" : "896" }, "uris" : [ "http://www.mendeley.com/documents/?uuid=70837309-38a3-40b9-829d-dbf1e313c515", "http://www.mendeley.com/documents/?uuid=fbb2c175-939e-497d-b8f0-dbd7dbd4e5d9" ] } ], "mendeley" : { "formattedCitation" : "(Arnault et al. 2000)", "plainTextFormattedCitation" : "(Arnault et al. 2000)", "previouslyFormattedCitation" : "(Arnault et al. 2000)" }, "properties" : { "noteIndex" : 0 }, "schema" : "https://github.com/citation-style-language/schema/raw/master/csl-citation.json" }</w:instrText>
      </w:r>
      <w:r w:rsidR="00482127">
        <w:rPr>
          <w:lang w:val="es-ES"/>
        </w:rPr>
        <w:fldChar w:fldCharType="separate"/>
      </w:r>
      <w:r w:rsidR="00032E48" w:rsidRPr="00032E48">
        <w:rPr>
          <w:noProof/>
          <w:lang w:val="es-ES"/>
        </w:rPr>
        <w:t>(Arnault et al. 2000)</w:t>
      </w:r>
      <w:r w:rsidR="00482127">
        <w:rPr>
          <w:lang w:val="es-ES"/>
        </w:rPr>
        <w:fldChar w:fldCharType="end"/>
      </w:r>
      <w:r>
        <w:rPr>
          <w:lang w:val="es-ES"/>
        </w:rPr>
        <w:t>.</w:t>
      </w:r>
      <w:r w:rsidRPr="0051332A">
        <w:rPr>
          <w:lang w:val="es-ES"/>
        </w:rPr>
        <w:t xml:space="preserve"> En este contexto, la cromatografía liquida de alta resolución HPLC representa una buena opción, principalmente para el análisis de las muest</w:t>
      </w:r>
      <w:r w:rsidR="009670E6">
        <w:rPr>
          <w:lang w:val="es-ES"/>
        </w:rPr>
        <w:t>ras específicas de este estudio,</w:t>
      </w:r>
      <w:r w:rsidRPr="0051332A">
        <w:rPr>
          <w:lang w:val="es-ES"/>
        </w:rPr>
        <w:t xml:space="preserve"> </w:t>
      </w:r>
      <w:r w:rsidR="009670E6">
        <w:rPr>
          <w:lang w:val="es-ES"/>
        </w:rPr>
        <w:t>d</w:t>
      </w:r>
      <w:r w:rsidRPr="0051332A">
        <w:rPr>
          <w:lang w:val="es-ES"/>
        </w:rPr>
        <w:t xml:space="preserve">onde se requiere un sistema versátil y fácil de emplear que permita una adecuada detección y cuantificación del DADS.  </w:t>
      </w:r>
    </w:p>
    <w:p w:rsidR="00054B2A" w:rsidRDefault="00EC386F" w:rsidP="00C80DC3">
      <w:pPr>
        <w:spacing w:after="0" w:line="240" w:lineRule="auto"/>
        <w:rPr>
          <w:lang w:val="es-ES"/>
        </w:rPr>
      </w:pPr>
      <w:r w:rsidRPr="0051332A">
        <w:rPr>
          <w:lang w:val="es-ES"/>
        </w:rPr>
        <w:t>Basados en los estudios de diferentes autores, se seleccionaron varios sistemas de fase reversa que emplean columnas C18 con la presencia de acetonitrilo, metanol y agua en la fase móvil</w:t>
      </w:r>
      <w:r w:rsidR="008C5AC5">
        <w:rPr>
          <w:lang w:val="es-ES"/>
        </w:rPr>
        <w:t xml:space="preserve"> </w:t>
      </w:r>
      <w:r w:rsidR="00C14BED">
        <w:rPr>
          <w:lang w:val="es-ES"/>
        </w:rPr>
        <w:fldChar w:fldCharType="begin" w:fldLock="1"/>
      </w:r>
      <w:r w:rsidR="00C14BED">
        <w:rPr>
          <w:lang w:val="es-ES"/>
        </w:rPr>
        <w:instrText>ADDIN CSL_CITATION { "citationItems" : [ { "id" : "ITEM-1", "itemData" : { "DOI" : "10.4103/0973-1296.133279", "ISSN" : "0973-1296", "abstract" : "BACKGROUND:: Garlic (Allium sativum L.) has been accepted universally to be applied in food, spice and traditional medicine. The medicinal and other beneficial properties of garlic are attributed to organosulfur compounds. OBJECTIVE:: As of today no simultaneous analysis has been performed; hence the transformation of allicin to its degraded products during cultivation and storage is open into doubt. MATERIALS AND METHODS:: In our present work, we have tried to develop a sensitive and reproducible analytical method to measure allicin by high performance liquid chromatography-ultraviolet analysis with effect of post-acoustic waves and microwave radiation on fresh garlic cloves. RESULTS:: The process revealed the effect of different radiation techniques on fresh garlic retains the principle component, allicin in its pure form and generated higher yield than the conventional way of extraction. CONCLUSION:: Therefore, materializing these techniques in the pharmaceutical industry will definitely be proved beneficial in term of time as well as money. Most interestingly, the methods ruled out possibilities of degradation of organosulfur compounds as well. ", "author" : [ { "dropping-particle" : "", "family" : "Bose", "given" : "Sankhadip", "non-dropping-particle" : "", "parse-names" : false, "suffix" : "" }, { "dropping-particle" : "", "family" : "Laha", "given" : "Bibek", "non-dropping-particle" : "", "parse-names" : false, "suffix" : "" }, { "dropping-particle" : "", "family" : "Banerjee", "given" : "Subhasis", "non-dropping-particle" : "", "parse-names" : false, "suffix" : "" } ], "container-title" : "Pharmacognosy Magazine", "id" : "ITEM-1", "issue" : "Suppl 2", "issued" : { "date-parts" : [ [ "2014", "7" ] ] }, "page" : "S288-S293", "publisher" : "Medknow Publications &amp; Media Pvt Ltd", "publisher-place" : "India", "title" : "Quantification of allicin by high performance liquid chromatography-ultraviolet analysis with effect of post-ultrasonic sound and microwave radiation on fresh garlic cloves", "type" : "article-journal", "volume" : "10" }, "uris" : [ "http://www.mendeley.com/documents/?uuid=2f757a13-761c-4b4b-b5f3-13244a39c18f" ] }, { "id" : "ITEM-2", "itemData" : { "author" : [ { "dropping-particle" : "", "family" : "Ghani", "given" : "Mohammad J Abdul", "non-dropping-particle" : "", "parse-names" : false, "suffix" : "" } ], "container-title" : "J. of university of anbar for pure science", "id" : "ITEM-2", "issue" : "2", "issued" : { "date-parts" : [ [ "2010" ] ] }, "title" : "Determination of Alliin and Allicin in different types Garlic using High Performance Liquid Chromatography", "type" : "article-journal", "volume" : "4" }, "uris" : [ "http://www.mendeley.com/documents/?uuid=baa38fd5-fc92-4b21-96ef-ed905c799261" ] }, { "id" : "ITEM-3", "itemData" : { "DOI" : "10.1016/S0003-2670(01)01104-7", "ISSN" : "00032670", "author"</w:instrText>
      </w:r>
      <w:r w:rsidR="00C14BED" w:rsidRPr="00F83064">
        <w:rPr>
          <w:lang w:val="es-ES"/>
        </w:rPr>
        <w:instrText xml:space="preserve"> : [ { "dropping-particle" : "", "family" : "Bocchini", "given" : </w:instrText>
      </w:r>
      <w:r w:rsidR="00C14BED" w:rsidRPr="00C206C9">
        <w:rPr>
          <w:lang w:val="es-ES"/>
        </w:rPr>
        <w:instrText>"P.", "non-dropping-particle" : "", "parse-names" : false, "suffix" : "" }, { "dropping-particle" : "", "family" : "Andal\u00f2", "given" : "C.", "non-dropping-particle" : "", "parse-names" : false, "suffix" : "" }, { "dropping-particle" : "", "family" : "Pozzi", "given" : "R.", "non-dropping-particle" : "", "parse-names" : false, "suffix" : "" }, { "dropping-particle" : "", "family" : "Galletti", "given" : "G.C.", "non-dropping-particle" : "", "parse-names" : false, "suffix" : "" }, { "dropping-particle" : "", "family" : "Antonelli", "given" : "a.", "non-dropping-particle" : "", "parse-names" : false, "suffix" : "" } ], "container-title" : "Analytica Chimica Acta", "id" : "ITEM-3", "issue" : "1", "issued" : { "date-parts" : [ [ "2001", "8" ] ] }, "page" : "37-43", "title" : "Determination of diallyl thiosulfinate (allicin) in garlic (Allium sativum L.) by high-performance liquid chromatography with a post-column photochemical reactor", "type" : "article-journal", "volume" : "441" }, "uris" : [ "http://www.mendeley.com/documents/?uuid=66e1cd7d-bc0f-4112-b2be-456ff400b0d1" ] } ], "mendeley" : { "formattedCitation" : "(Bocchini et al. 2001; Bose, Laha, and Banerjee 2014; Ghani 2010)", "plainTextFormattedCitation" : "(Bocchini et al. 2001; Bose, Laha, and Banerjee 2014; Ghani 2010)" }, "properties" : { "noteIndex" : 0 }, "schema" : "https://github.com/citation-style-language/schema/raw/master/csl-citation.json" }</w:instrText>
      </w:r>
      <w:r w:rsidR="00C14BED">
        <w:rPr>
          <w:lang w:val="es-ES"/>
        </w:rPr>
        <w:fldChar w:fldCharType="separate"/>
      </w:r>
      <w:r w:rsidR="00C14BED" w:rsidRPr="00C206C9">
        <w:rPr>
          <w:noProof/>
          <w:lang w:val="es-ES"/>
        </w:rPr>
        <w:t>(Bocchini et al. 2001; Bose</w:t>
      </w:r>
      <w:r w:rsidR="00F83064">
        <w:rPr>
          <w:noProof/>
          <w:lang w:val="es-ES"/>
        </w:rPr>
        <w:t xml:space="preserve"> et al.</w:t>
      </w:r>
      <w:r w:rsidR="00C14BED" w:rsidRPr="00C206C9">
        <w:rPr>
          <w:noProof/>
          <w:lang w:val="es-ES"/>
        </w:rPr>
        <w:t xml:space="preserve"> 2014; Ghani 2010)</w:t>
      </w:r>
      <w:r w:rsidR="00C14BED">
        <w:rPr>
          <w:lang w:val="es-ES"/>
        </w:rPr>
        <w:fldChar w:fldCharType="end"/>
      </w:r>
      <w:r w:rsidR="00C80DC3" w:rsidRPr="00C206C9">
        <w:rPr>
          <w:lang w:val="es-ES"/>
        </w:rPr>
        <w:t>.</w:t>
      </w:r>
      <w:r w:rsidRPr="00C206C9">
        <w:rPr>
          <w:lang w:val="es-ES"/>
        </w:rPr>
        <w:t xml:space="preserve"> </w:t>
      </w:r>
      <w:r w:rsidR="008B491B">
        <w:rPr>
          <w:lang w:val="es-ES"/>
        </w:rPr>
        <w:t>L</w:t>
      </w:r>
      <w:r w:rsidR="00F60E94" w:rsidRPr="0051332A">
        <w:rPr>
          <w:lang w:val="es-ES"/>
        </w:rPr>
        <w:t xml:space="preserve">a </w:t>
      </w:r>
      <w:r w:rsidR="00054B2A">
        <w:rPr>
          <w:lang w:val="es-ES"/>
        </w:rPr>
        <w:t>T</w:t>
      </w:r>
      <w:r w:rsidR="00F60E94" w:rsidRPr="0051332A">
        <w:rPr>
          <w:lang w:val="es-ES"/>
        </w:rPr>
        <w:t>abla</w:t>
      </w:r>
      <w:r w:rsidR="003243DE">
        <w:rPr>
          <w:lang w:val="es-ES"/>
        </w:rPr>
        <w:t xml:space="preserve"> 1</w:t>
      </w:r>
      <w:r w:rsidR="00F60E94" w:rsidRPr="0051332A">
        <w:rPr>
          <w:lang w:val="es-ES"/>
        </w:rPr>
        <w:t xml:space="preserve"> resume las características de dichos métodos y los resultados obtenidos.</w:t>
      </w:r>
      <w:r w:rsidR="00F60E94">
        <w:rPr>
          <w:lang w:val="es-ES"/>
        </w:rPr>
        <w:t xml:space="preserve"> </w:t>
      </w:r>
    </w:p>
    <w:p w:rsidR="00054B2A" w:rsidRDefault="00EC386F" w:rsidP="00054B2A">
      <w:pPr>
        <w:spacing w:after="0" w:line="240" w:lineRule="auto"/>
        <w:rPr>
          <w:lang w:val="es-ES"/>
        </w:rPr>
      </w:pPr>
      <w:r w:rsidRPr="0051332A">
        <w:rPr>
          <w:lang w:val="es-ES"/>
        </w:rPr>
        <w:t xml:space="preserve">El patrón de DADS corresponde a un compuesto comercial que en su mayoría está compuesto por dialil disulfuro, sin embargo contiene trazas de compuestos asociados como </w:t>
      </w:r>
      <w:r w:rsidR="00054B2A">
        <w:rPr>
          <w:lang w:val="es-ES"/>
        </w:rPr>
        <w:t>tri</w:t>
      </w:r>
      <w:r w:rsidRPr="0051332A">
        <w:rPr>
          <w:lang w:val="es-ES"/>
        </w:rPr>
        <w:t>alil</w:t>
      </w:r>
      <w:r w:rsidR="00340644">
        <w:rPr>
          <w:lang w:val="es-ES"/>
        </w:rPr>
        <w:t xml:space="preserve"> </w:t>
      </w:r>
      <w:r w:rsidR="00054B2A">
        <w:rPr>
          <w:lang w:val="es-ES"/>
        </w:rPr>
        <w:t>di</w:t>
      </w:r>
      <w:r w:rsidR="00340644">
        <w:rPr>
          <w:lang w:val="es-ES"/>
        </w:rPr>
        <w:t xml:space="preserve">sulfuro y diallil </w:t>
      </w:r>
      <w:r w:rsidRPr="0051332A">
        <w:rPr>
          <w:lang w:val="es-ES"/>
        </w:rPr>
        <w:t>trisulfuro</w:t>
      </w:r>
      <w:r w:rsidR="00340644">
        <w:rPr>
          <w:lang w:val="es-ES"/>
        </w:rPr>
        <w:t>.</w:t>
      </w:r>
      <w:r w:rsidR="00054B2A">
        <w:rPr>
          <w:lang w:val="es-ES"/>
        </w:rPr>
        <w:t xml:space="preserve"> </w:t>
      </w:r>
      <w:r w:rsidR="009670E6">
        <w:rPr>
          <w:lang w:val="es-ES"/>
        </w:rPr>
        <w:t>Por otra parte</w:t>
      </w:r>
      <w:r w:rsidR="003243DE">
        <w:rPr>
          <w:lang w:val="es-ES"/>
        </w:rPr>
        <w:t>,</w:t>
      </w:r>
      <w:r w:rsidR="00054B2A">
        <w:rPr>
          <w:lang w:val="es-ES"/>
        </w:rPr>
        <w:t xml:space="preserve"> el </w:t>
      </w:r>
      <w:r w:rsidR="00054B2A" w:rsidRPr="00054A03">
        <w:rPr>
          <w:lang w:val="es-ES"/>
        </w:rPr>
        <w:t>dialil disulfuro representa el compuesto con peso molecular más bajo y</w:t>
      </w:r>
      <w:r w:rsidR="003243DE">
        <w:rPr>
          <w:lang w:val="es-ES"/>
        </w:rPr>
        <w:t>,</w:t>
      </w:r>
      <w:r w:rsidR="00054B2A" w:rsidRPr="00054A03">
        <w:rPr>
          <w:lang w:val="es-ES"/>
        </w:rPr>
        <w:t xml:space="preserve"> en general, el de estructura molecular más pequeña (C6H10S2)</w:t>
      </w:r>
      <w:r w:rsidR="00054B2A">
        <w:rPr>
          <w:lang w:val="es-ES"/>
        </w:rPr>
        <w:t xml:space="preserve">. De modo que </w:t>
      </w:r>
      <w:r w:rsidR="00054B2A" w:rsidRPr="00054A03">
        <w:rPr>
          <w:lang w:val="es-ES"/>
        </w:rPr>
        <w:t>su detección se asocia con la señal del primer componente que eluye, al ser el compuesto que menor tiempo se ret</w:t>
      </w:r>
      <w:r w:rsidR="00054B2A">
        <w:rPr>
          <w:lang w:val="es-ES"/>
        </w:rPr>
        <w:t>iene</w:t>
      </w:r>
      <w:r w:rsidR="00054B2A" w:rsidRPr="00054A03">
        <w:rPr>
          <w:lang w:val="es-ES"/>
        </w:rPr>
        <w:t xml:space="preserve"> en la columna.</w:t>
      </w:r>
    </w:p>
    <w:p w:rsidR="00054B2A" w:rsidRDefault="00054B2A" w:rsidP="00234195">
      <w:pPr>
        <w:spacing w:after="0" w:line="240" w:lineRule="auto"/>
        <w:rPr>
          <w:lang w:val="es-ES"/>
        </w:rPr>
      </w:pPr>
    </w:p>
    <w:p w:rsidR="003D1BEB" w:rsidRPr="003D1BEB" w:rsidRDefault="003D1BEB" w:rsidP="00234195">
      <w:pPr>
        <w:pStyle w:val="Caption"/>
        <w:keepNext/>
        <w:spacing w:after="0"/>
        <w:jc w:val="center"/>
        <w:rPr>
          <w:b w:val="0"/>
          <w:color w:val="auto"/>
          <w:sz w:val="22"/>
          <w:szCs w:val="22"/>
          <w:lang w:val="es-ES"/>
        </w:rPr>
      </w:pPr>
      <w:r w:rsidRPr="003D1BEB">
        <w:rPr>
          <w:color w:val="auto"/>
          <w:sz w:val="22"/>
          <w:szCs w:val="22"/>
          <w:lang w:val="es-ES"/>
        </w:rPr>
        <w:t xml:space="preserve">Tabla </w:t>
      </w:r>
      <w:r w:rsidRPr="003D1BEB">
        <w:rPr>
          <w:color w:val="auto"/>
          <w:sz w:val="22"/>
          <w:szCs w:val="22"/>
        </w:rPr>
        <w:fldChar w:fldCharType="begin"/>
      </w:r>
      <w:r w:rsidRPr="003D1BEB">
        <w:rPr>
          <w:color w:val="auto"/>
          <w:sz w:val="22"/>
          <w:szCs w:val="22"/>
          <w:lang w:val="es-ES"/>
        </w:rPr>
        <w:instrText xml:space="preserve"> SEQ Tabla \* ARABIC </w:instrText>
      </w:r>
      <w:r w:rsidRPr="003D1BEB">
        <w:rPr>
          <w:color w:val="auto"/>
          <w:sz w:val="22"/>
          <w:szCs w:val="22"/>
        </w:rPr>
        <w:fldChar w:fldCharType="separate"/>
      </w:r>
      <w:r w:rsidR="00C206C9">
        <w:rPr>
          <w:noProof/>
          <w:color w:val="auto"/>
          <w:sz w:val="22"/>
          <w:szCs w:val="22"/>
          <w:lang w:val="es-ES"/>
        </w:rPr>
        <w:t>1</w:t>
      </w:r>
      <w:r w:rsidRPr="003D1BEB">
        <w:rPr>
          <w:color w:val="auto"/>
          <w:sz w:val="22"/>
          <w:szCs w:val="22"/>
        </w:rPr>
        <w:fldChar w:fldCharType="end"/>
      </w:r>
      <w:r w:rsidRPr="003D1BEB">
        <w:rPr>
          <w:color w:val="auto"/>
          <w:sz w:val="22"/>
          <w:szCs w:val="22"/>
          <w:lang w:val="es-ES"/>
        </w:rPr>
        <w:t xml:space="preserve"> </w:t>
      </w:r>
      <w:r w:rsidRPr="003D1BEB">
        <w:rPr>
          <w:b w:val="0"/>
          <w:color w:val="auto"/>
          <w:sz w:val="22"/>
          <w:szCs w:val="22"/>
          <w:lang w:val="es-ES"/>
        </w:rPr>
        <w:t>Descripción de los métodos de HPLC evaluados</w:t>
      </w:r>
    </w:p>
    <w:tbl>
      <w:tblPr>
        <w:tblStyle w:val="TableGrid"/>
        <w:tblW w:w="8236" w:type="dxa"/>
        <w:jc w:val="center"/>
        <w:tblLook w:val="04A0" w:firstRow="1" w:lastRow="0" w:firstColumn="1" w:lastColumn="0" w:noHBand="0" w:noVBand="1"/>
      </w:tblPr>
      <w:tblGrid>
        <w:gridCol w:w="517"/>
        <w:gridCol w:w="3602"/>
        <w:gridCol w:w="4117"/>
      </w:tblGrid>
      <w:tr w:rsidR="00B9214E" w:rsidRPr="00B9214E" w:rsidTr="00B9214E">
        <w:trPr>
          <w:trHeight w:val="329"/>
          <w:jc w:val="center"/>
        </w:trPr>
        <w:tc>
          <w:tcPr>
            <w:tcW w:w="517" w:type="dxa"/>
            <w:vAlign w:val="center"/>
          </w:tcPr>
          <w:p w:rsidR="00EC386F" w:rsidRPr="00F60E94" w:rsidRDefault="00EC386F" w:rsidP="00234195">
            <w:pPr>
              <w:pStyle w:val="NoSpacing"/>
              <w:rPr>
                <w:lang w:val="es-ES"/>
              </w:rPr>
            </w:pPr>
          </w:p>
        </w:tc>
        <w:tc>
          <w:tcPr>
            <w:tcW w:w="3602" w:type="dxa"/>
            <w:vAlign w:val="center"/>
          </w:tcPr>
          <w:p w:rsidR="00EC386F" w:rsidRPr="00B9214E" w:rsidRDefault="00EC386F" w:rsidP="00234195">
            <w:pPr>
              <w:pStyle w:val="NoSpacing"/>
              <w:rPr>
                <w:rFonts w:cs="Arial"/>
                <w:sz w:val="22"/>
                <w:szCs w:val="22"/>
              </w:rPr>
            </w:pPr>
            <w:r w:rsidRPr="00B9214E">
              <w:rPr>
                <w:rFonts w:cs="Arial"/>
                <w:sz w:val="22"/>
                <w:szCs w:val="22"/>
              </w:rPr>
              <w:t>CARACTERISTICAS</w:t>
            </w:r>
          </w:p>
        </w:tc>
        <w:tc>
          <w:tcPr>
            <w:tcW w:w="4117" w:type="dxa"/>
            <w:vAlign w:val="center"/>
          </w:tcPr>
          <w:p w:rsidR="00EC386F" w:rsidRPr="00B9214E" w:rsidRDefault="00EC386F" w:rsidP="00234195">
            <w:pPr>
              <w:pStyle w:val="NoSpacing"/>
              <w:rPr>
                <w:rFonts w:cs="Arial"/>
                <w:sz w:val="22"/>
                <w:szCs w:val="22"/>
              </w:rPr>
            </w:pPr>
            <w:r w:rsidRPr="00B9214E">
              <w:rPr>
                <w:rFonts w:cs="Arial"/>
                <w:sz w:val="22"/>
                <w:szCs w:val="22"/>
              </w:rPr>
              <w:t>OBSERVACIONES</w:t>
            </w:r>
          </w:p>
        </w:tc>
      </w:tr>
      <w:tr w:rsidR="00B9214E" w:rsidRPr="003168BC" w:rsidTr="00B9214E">
        <w:trPr>
          <w:cantSplit/>
          <w:trHeight w:val="1443"/>
          <w:jc w:val="center"/>
        </w:trPr>
        <w:tc>
          <w:tcPr>
            <w:tcW w:w="517" w:type="dxa"/>
            <w:textDirection w:val="btLr"/>
            <w:vAlign w:val="center"/>
          </w:tcPr>
          <w:p w:rsidR="00854AE7" w:rsidRPr="00B9214E" w:rsidRDefault="00B9214E" w:rsidP="00234195">
            <w:pPr>
              <w:pStyle w:val="NoSpacing"/>
              <w:ind w:left="113" w:right="113" w:firstLine="0"/>
              <w:jc w:val="center"/>
            </w:pPr>
            <w:r>
              <w:t>METODO 1</w:t>
            </w:r>
          </w:p>
        </w:tc>
        <w:tc>
          <w:tcPr>
            <w:tcW w:w="3602" w:type="dxa"/>
            <w:vAlign w:val="center"/>
          </w:tcPr>
          <w:p w:rsidR="00EC386F" w:rsidRPr="00B9214E" w:rsidRDefault="00EC386F" w:rsidP="00234195">
            <w:pPr>
              <w:pStyle w:val="NoSpacing"/>
              <w:ind w:firstLine="0"/>
              <w:rPr>
                <w:rFonts w:cs="Arial"/>
                <w:sz w:val="22"/>
                <w:szCs w:val="22"/>
                <w:lang w:val="es-ES"/>
              </w:rPr>
            </w:pPr>
            <w:r w:rsidRPr="00B9214E">
              <w:rPr>
                <w:rFonts w:cs="Arial"/>
                <w:sz w:val="22"/>
                <w:szCs w:val="22"/>
                <w:lang w:val="es-ES"/>
              </w:rPr>
              <w:t>Fase reversa: Columna C18| 25ºC</w:t>
            </w: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Detector : UV 254 nm</w:t>
            </w: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 xml:space="preserve">Flujo: 0.5ml/min </w:t>
            </w:r>
          </w:p>
          <w:p w:rsidR="00EC386F" w:rsidRPr="00B9214E" w:rsidRDefault="00EC386F" w:rsidP="00234195">
            <w:pPr>
              <w:pStyle w:val="NoSpacing"/>
              <w:rPr>
                <w:rFonts w:cs="Arial"/>
                <w:sz w:val="22"/>
                <w:szCs w:val="22"/>
                <w:lang w:val="es-ES"/>
              </w:rPr>
            </w:pP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Fase móvil isocrática:</w:t>
            </w:r>
          </w:p>
          <w:p w:rsidR="00EC386F" w:rsidRPr="00B9214E" w:rsidRDefault="00B9214E" w:rsidP="00234195">
            <w:pPr>
              <w:pStyle w:val="NoSpacing"/>
              <w:ind w:firstLine="0"/>
              <w:rPr>
                <w:rFonts w:cs="Arial"/>
                <w:sz w:val="22"/>
                <w:szCs w:val="22"/>
              </w:rPr>
            </w:pPr>
            <w:r>
              <w:rPr>
                <w:rFonts w:cs="Arial"/>
                <w:sz w:val="22"/>
                <w:szCs w:val="22"/>
                <w:lang w:val="es-ES"/>
              </w:rPr>
              <w:t xml:space="preserve">  </w:t>
            </w:r>
            <w:r w:rsidR="00EC386F" w:rsidRPr="00B9214E">
              <w:rPr>
                <w:rFonts w:cs="Arial"/>
                <w:sz w:val="22"/>
                <w:szCs w:val="22"/>
              </w:rPr>
              <w:t xml:space="preserve">metanol:agua 50:50 </w:t>
            </w:r>
          </w:p>
        </w:tc>
        <w:tc>
          <w:tcPr>
            <w:tcW w:w="4117" w:type="dxa"/>
            <w:vAlign w:val="center"/>
          </w:tcPr>
          <w:p w:rsidR="00EC386F" w:rsidRPr="004E05D6" w:rsidRDefault="00EC386F" w:rsidP="00234195">
            <w:pPr>
              <w:pStyle w:val="NoSpacing"/>
              <w:rPr>
                <w:rFonts w:cs="Arial"/>
                <w:sz w:val="22"/>
                <w:szCs w:val="22"/>
                <w:lang w:val="es-ES"/>
              </w:rPr>
            </w:pPr>
            <w:r w:rsidRPr="004E05D6">
              <w:rPr>
                <w:rFonts w:cs="Arial"/>
                <w:sz w:val="22"/>
                <w:szCs w:val="22"/>
                <w:lang w:val="es-ES"/>
              </w:rPr>
              <w:t>En este primer acercamiento, presentó una señal en el frente de columna, que genera ruido excesivo en la respuesta y hace que la sensibilidad del método sea muy baja. Adicionalmente, tal y como se ve en la Figura 1a, este método no logró una adecuada separación de los picos.</w:t>
            </w:r>
          </w:p>
        </w:tc>
      </w:tr>
      <w:tr w:rsidR="00B9214E" w:rsidRPr="003168BC" w:rsidTr="00B9214E">
        <w:trPr>
          <w:cantSplit/>
          <w:trHeight w:val="1202"/>
          <w:jc w:val="center"/>
        </w:trPr>
        <w:tc>
          <w:tcPr>
            <w:tcW w:w="517" w:type="dxa"/>
            <w:textDirection w:val="btLr"/>
            <w:vAlign w:val="center"/>
          </w:tcPr>
          <w:p w:rsidR="00854AE7" w:rsidRPr="00B9214E" w:rsidRDefault="00B9214E" w:rsidP="00234195">
            <w:pPr>
              <w:pStyle w:val="NoSpacing"/>
              <w:ind w:right="113"/>
              <w:jc w:val="center"/>
            </w:pPr>
            <w:r>
              <w:t>METODO 2</w:t>
            </w:r>
          </w:p>
        </w:tc>
        <w:tc>
          <w:tcPr>
            <w:tcW w:w="3602" w:type="dxa"/>
            <w:vAlign w:val="center"/>
          </w:tcPr>
          <w:p w:rsidR="00EC386F" w:rsidRPr="00B9214E" w:rsidRDefault="00EC386F" w:rsidP="00234195">
            <w:pPr>
              <w:pStyle w:val="NoSpacing"/>
              <w:rPr>
                <w:rFonts w:cs="Arial"/>
                <w:sz w:val="22"/>
                <w:szCs w:val="22"/>
                <w:lang w:val="es-ES"/>
              </w:rPr>
            </w:pP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Fase reversa: Columna C18| 25ºC</w:t>
            </w: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Detector: UV 240 nm</w:t>
            </w: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 xml:space="preserve">Flujo:0.5ml/min </w:t>
            </w:r>
          </w:p>
          <w:p w:rsidR="00EC386F" w:rsidRPr="00B9214E" w:rsidRDefault="00EC386F" w:rsidP="00234195">
            <w:pPr>
              <w:pStyle w:val="NoSpacing"/>
              <w:rPr>
                <w:rFonts w:cs="Arial"/>
                <w:sz w:val="22"/>
                <w:szCs w:val="22"/>
                <w:lang w:val="es-ES"/>
              </w:rPr>
            </w:pP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Fase móvil isocrática:</w:t>
            </w:r>
          </w:p>
          <w:p w:rsidR="00EC386F" w:rsidRPr="00B9214E" w:rsidRDefault="00EC386F" w:rsidP="00234195">
            <w:pPr>
              <w:pStyle w:val="NoSpacing"/>
              <w:rPr>
                <w:rFonts w:cs="Arial"/>
                <w:sz w:val="22"/>
                <w:szCs w:val="22"/>
              </w:rPr>
            </w:pPr>
            <w:r w:rsidRPr="00B9214E">
              <w:rPr>
                <w:rFonts w:cs="Arial"/>
                <w:sz w:val="22"/>
                <w:szCs w:val="22"/>
              </w:rPr>
              <w:t xml:space="preserve">metanol-agua 50:50 </w:t>
            </w:r>
          </w:p>
          <w:p w:rsidR="00EC386F" w:rsidRPr="00B9214E" w:rsidRDefault="00EC386F" w:rsidP="00234195">
            <w:pPr>
              <w:pStyle w:val="NoSpacing"/>
              <w:rPr>
                <w:rFonts w:cs="Arial"/>
                <w:sz w:val="22"/>
                <w:szCs w:val="22"/>
              </w:rPr>
            </w:pPr>
          </w:p>
        </w:tc>
        <w:tc>
          <w:tcPr>
            <w:tcW w:w="4117" w:type="dxa"/>
            <w:vAlign w:val="center"/>
          </w:tcPr>
          <w:p w:rsidR="00EC386F" w:rsidRPr="004E05D6" w:rsidRDefault="00EC386F" w:rsidP="00234195">
            <w:pPr>
              <w:pStyle w:val="NoSpacing"/>
              <w:rPr>
                <w:rFonts w:cs="Arial"/>
                <w:sz w:val="22"/>
                <w:szCs w:val="22"/>
                <w:lang w:val="es-ES"/>
              </w:rPr>
            </w:pPr>
            <w:r w:rsidRPr="004E05D6">
              <w:rPr>
                <w:rFonts w:cs="Arial"/>
                <w:sz w:val="22"/>
                <w:szCs w:val="22"/>
                <w:lang w:val="es-ES"/>
              </w:rPr>
              <w:t>La figura 1b, muestra una mejora en relación con el método anterior, respecto a la presencia de señal en el frente de columna; lo cual puede asociarse al cambio de longitud de onda, en el detector. Sin embargo, la aparición de “hombros” en las señales detectadas, muestran la deficiencia en la resolución y separación de picos.</w:t>
            </w:r>
          </w:p>
        </w:tc>
      </w:tr>
      <w:tr w:rsidR="00B9214E" w:rsidRPr="003168BC" w:rsidTr="00B9214E">
        <w:trPr>
          <w:cantSplit/>
          <w:trHeight w:val="1918"/>
          <w:jc w:val="center"/>
        </w:trPr>
        <w:tc>
          <w:tcPr>
            <w:tcW w:w="517" w:type="dxa"/>
            <w:textDirection w:val="btLr"/>
            <w:vAlign w:val="center"/>
          </w:tcPr>
          <w:p w:rsidR="00854AE7" w:rsidRPr="00B9214E" w:rsidRDefault="00B9214E" w:rsidP="00234195">
            <w:pPr>
              <w:pStyle w:val="NoSpacing"/>
              <w:ind w:left="113" w:right="113" w:firstLine="0"/>
              <w:jc w:val="center"/>
            </w:pPr>
            <w:r>
              <w:lastRenderedPageBreak/>
              <w:t>METODO 3</w:t>
            </w:r>
          </w:p>
        </w:tc>
        <w:tc>
          <w:tcPr>
            <w:tcW w:w="3602" w:type="dxa"/>
            <w:vAlign w:val="center"/>
          </w:tcPr>
          <w:p w:rsidR="00EC386F" w:rsidRPr="00B9214E" w:rsidRDefault="00EC386F" w:rsidP="00234195">
            <w:pPr>
              <w:pStyle w:val="NoSpacing"/>
              <w:rPr>
                <w:rFonts w:cs="Arial"/>
                <w:sz w:val="22"/>
                <w:szCs w:val="22"/>
                <w:lang w:val="es-ES"/>
              </w:rPr>
            </w:pP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 xml:space="preserve">Fase reversa: Columna C18| </w:t>
            </w:r>
            <w:r w:rsidR="00B9214E">
              <w:rPr>
                <w:rFonts w:cs="Arial"/>
                <w:sz w:val="22"/>
                <w:szCs w:val="22"/>
                <w:lang w:val="es-ES"/>
              </w:rPr>
              <w:t>28</w:t>
            </w:r>
            <w:r w:rsidRPr="00B9214E">
              <w:rPr>
                <w:rFonts w:cs="Arial"/>
                <w:sz w:val="22"/>
                <w:szCs w:val="22"/>
                <w:lang w:val="es-ES"/>
              </w:rPr>
              <w:t>ºC</w:t>
            </w: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Detector UV 240 nm</w:t>
            </w: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 xml:space="preserve">Flujo 0.6ml/min </w:t>
            </w:r>
          </w:p>
          <w:p w:rsidR="00EC386F" w:rsidRPr="00B9214E" w:rsidRDefault="00EC386F" w:rsidP="00234195">
            <w:pPr>
              <w:pStyle w:val="NoSpacing"/>
              <w:rPr>
                <w:rFonts w:cs="Arial"/>
                <w:sz w:val="22"/>
                <w:szCs w:val="22"/>
                <w:lang w:val="es-ES"/>
              </w:rPr>
            </w:pPr>
          </w:p>
          <w:p w:rsidR="00EC386F" w:rsidRPr="00B9214E" w:rsidRDefault="00EC386F" w:rsidP="00234195">
            <w:pPr>
              <w:pStyle w:val="NoSpacing"/>
              <w:ind w:firstLine="0"/>
              <w:rPr>
                <w:rFonts w:cs="Arial"/>
                <w:sz w:val="22"/>
                <w:szCs w:val="22"/>
                <w:lang w:val="es-ES"/>
              </w:rPr>
            </w:pPr>
            <w:r w:rsidRPr="00B9214E">
              <w:rPr>
                <w:rFonts w:cs="Arial"/>
                <w:sz w:val="22"/>
                <w:szCs w:val="22"/>
                <w:lang w:val="es-ES"/>
              </w:rPr>
              <w:t>Fase móvil en gradiente</w:t>
            </w:r>
          </w:p>
          <w:p w:rsidR="00EC386F" w:rsidRPr="004E05D6" w:rsidRDefault="00EC386F" w:rsidP="00234195">
            <w:pPr>
              <w:pStyle w:val="NoSpacing"/>
              <w:rPr>
                <w:rFonts w:cs="Arial"/>
                <w:sz w:val="22"/>
                <w:szCs w:val="22"/>
                <w:lang w:val="es-ES"/>
              </w:rPr>
            </w:pPr>
            <w:r w:rsidRPr="004E05D6">
              <w:rPr>
                <w:rFonts w:cs="Arial"/>
                <w:sz w:val="22"/>
                <w:szCs w:val="22"/>
                <w:lang w:val="es-ES"/>
              </w:rPr>
              <w:t>agua:acetonitrilo :</w:t>
            </w:r>
          </w:p>
          <w:p w:rsidR="00EC386F" w:rsidRPr="004E05D6" w:rsidRDefault="00EC386F" w:rsidP="00234195">
            <w:pPr>
              <w:pStyle w:val="NoSpacing"/>
              <w:rPr>
                <w:rFonts w:cs="Arial"/>
                <w:sz w:val="22"/>
                <w:szCs w:val="22"/>
                <w:lang w:val="es-ES"/>
              </w:rPr>
            </w:pPr>
            <w:r w:rsidRPr="004E05D6">
              <w:rPr>
                <w:rFonts w:cs="Arial"/>
                <w:sz w:val="22"/>
                <w:szCs w:val="22"/>
                <w:lang w:val="es-ES"/>
              </w:rPr>
              <w:t xml:space="preserve">            90:10  0min</w:t>
            </w:r>
          </w:p>
          <w:p w:rsidR="00EC386F" w:rsidRPr="004E05D6" w:rsidRDefault="00EC386F" w:rsidP="00234195">
            <w:pPr>
              <w:pStyle w:val="NoSpacing"/>
              <w:rPr>
                <w:rFonts w:cs="Arial"/>
                <w:sz w:val="22"/>
                <w:szCs w:val="22"/>
                <w:lang w:val="es-ES"/>
              </w:rPr>
            </w:pPr>
            <w:r w:rsidRPr="004E05D6">
              <w:rPr>
                <w:rFonts w:cs="Arial"/>
                <w:sz w:val="22"/>
                <w:szCs w:val="22"/>
                <w:lang w:val="es-ES"/>
              </w:rPr>
              <w:t xml:space="preserve">            20:80  20min</w:t>
            </w:r>
          </w:p>
          <w:p w:rsidR="00EC386F" w:rsidRPr="004E05D6" w:rsidRDefault="00EC386F" w:rsidP="00234195">
            <w:pPr>
              <w:pStyle w:val="NoSpacing"/>
              <w:rPr>
                <w:rFonts w:cs="Arial"/>
                <w:sz w:val="22"/>
                <w:szCs w:val="22"/>
                <w:lang w:val="es-ES"/>
              </w:rPr>
            </w:pPr>
            <w:r w:rsidRPr="004E05D6">
              <w:rPr>
                <w:rFonts w:cs="Arial"/>
                <w:sz w:val="22"/>
                <w:szCs w:val="22"/>
                <w:lang w:val="es-ES"/>
              </w:rPr>
              <w:t xml:space="preserve">            20:80  60min</w:t>
            </w:r>
          </w:p>
          <w:p w:rsidR="00EC386F" w:rsidRPr="004E05D6" w:rsidRDefault="00EC386F" w:rsidP="00234195">
            <w:pPr>
              <w:pStyle w:val="NoSpacing"/>
              <w:rPr>
                <w:rFonts w:cs="Arial"/>
                <w:sz w:val="22"/>
                <w:szCs w:val="22"/>
                <w:lang w:val="es-ES"/>
              </w:rPr>
            </w:pPr>
            <w:r w:rsidRPr="004E05D6">
              <w:rPr>
                <w:rFonts w:cs="Arial"/>
                <w:sz w:val="22"/>
                <w:szCs w:val="22"/>
                <w:lang w:val="es-ES"/>
              </w:rPr>
              <w:t xml:space="preserve">            90:10  70min</w:t>
            </w:r>
          </w:p>
          <w:p w:rsidR="00EC386F" w:rsidRPr="004E05D6" w:rsidRDefault="00EC386F" w:rsidP="00234195">
            <w:pPr>
              <w:pStyle w:val="NoSpacing"/>
              <w:rPr>
                <w:rFonts w:cs="Arial"/>
                <w:sz w:val="22"/>
                <w:szCs w:val="22"/>
                <w:lang w:val="es-ES"/>
              </w:rPr>
            </w:pPr>
          </w:p>
        </w:tc>
        <w:tc>
          <w:tcPr>
            <w:tcW w:w="4117" w:type="dxa"/>
            <w:vAlign w:val="center"/>
          </w:tcPr>
          <w:p w:rsidR="00EC386F" w:rsidRPr="00DB3AB4" w:rsidRDefault="00EC386F" w:rsidP="002B6FE2">
            <w:pPr>
              <w:pStyle w:val="NoSpacing"/>
              <w:rPr>
                <w:rFonts w:cs="Arial"/>
                <w:sz w:val="22"/>
                <w:szCs w:val="22"/>
                <w:lang w:val="es-ES"/>
              </w:rPr>
            </w:pPr>
            <w:r w:rsidRPr="00DB3AB4">
              <w:rPr>
                <w:rFonts w:cs="Arial"/>
                <w:sz w:val="22"/>
                <w:szCs w:val="22"/>
                <w:lang w:val="es-ES"/>
              </w:rPr>
              <w:t>Finalmente con el cambio del disolvente y la propuesta de una fase móvil en gradiente, se mejoró considerablemente la separación y resolución de los picos.</w:t>
            </w:r>
            <w:r w:rsidR="00DB3AB4" w:rsidRPr="00DB3AB4">
              <w:rPr>
                <w:rFonts w:cs="Arial"/>
                <w:sz w:val="22"/>
                <w:szCs w:val="22"/>
                <w:lang w:val="es-ES"/>
              </w:rPr>
              <w:t xml:space="preserve"> </w:t>
            </w:r>
            <w:r w:rsidRPr="00DB3AB4">
              <w:rPr>
                <w:rFonts w:cs="Arial"/>
                <w:sz w:val="22"/>
                <w:szCs w:val="22"/>
                <w:lang w:val="es-ES"/>
              </w:rPr>
              <w:t>Sin embargo</w:t>
            </w:r>
            <w:r w:rsidR="002B6FE2">
              <w:rPr>
                <w:rFonts w:cs="Arial"/>
                <w:sz w:val="22"/>
                <w:szCs w:val="22"/>
                <w:lang w:val="es-ES"/>
              </w:rPr>
              <w:t>,</w:t>
            </w:r>
            <w:r w:rsidRPr="00DB3AB4">
              <w:rPr>
                <w:rFonts w:cs="Arial"/>
                <w:sz w:val="22"/>
                <w:szCs w:val="22"/>
                <w:lang w:val="es-ES"/>
              </w:rPr>
              <w:t xml:space="preserve"> un análisis de más de una hora resulta poco práctico, de modo que se optimizó el sistema hasta obtener un análisis de 35min, Figura 1c.</w:t>
            </w:r>
          </w:p>
        </w:tc>
      </w:tr>
    </w:tbl>
    <w:p w:rsidR="00EC386F" w:rsidRDefault="00EC386F" w:rsidP="00234195">
      <w:pPr>
        <w:spacing w:after="0" w:line="240" w:lineRule="auto"/>
        <w:rPr>
          <w:lang w:val="es-ES"/>
        </w:rPr>
      </w:pPr>
    </w:p>
    <w:p w:rsidR="00527C18" w:rsidRDefault="004851B4" w:rsidP="00234195">
      <w:pPr>
        <w:spacing w:after="0" w:line="240" w:lineRule="auto"/>
        <w:rPr>
          <w:lang w:val="es-ES"/>
        </w:rPr>
      </w:pPr>
      <w:r>
        <w:rPr>
          <w:noProof/>
          <w:lang w:val="en-US"/>
        </w:rPr>
        <mc:AlternateContent>
          <mc:Choice Requires="wps">
            <w:drawing>
              <wp:anchor distT="0" distB="0" distL="114300" distR="114300" simplePos="0" relativeHeight="251663360" behindDoc="0" locked="0" layoutInCell="1" allowOverlap="1" wp14:anchorId="130802C5" wp14:editId="355F03D4">
                <wp:simplePos x="0" y="0"/>
                <wp:positionH relativeFrom="column">
                  <wp:posOffset>137795</wp:posOffset>
                </wp:positionH>
                <wp:positionV relativeFrom="paragraph">
                  <wp:posOffset>96520</wp:posOffset>
                </wp:positionV>
                <wp:extent cx="447675" cy="294005"/>
                <wp:effectExtent l="0" t="0" r="1905"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0F5" w:rsidRPr="00054B2A" w:rsidRDefault="00BA60F5" w:rsidP="00B30847">
                            <w:pPr>
                              <w:ind w:firstLine="0"/>
                              <w:jc w:val="left"/>
                              <w:rPr>
                                <w:b/>
                              </w:rPr>
                            </w:pPr>
                            <w:r w:rsidRPr="00054B2A">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802C5" id="_x0000_t202" coordsize="21600,21600" o:spt="202" path="m,l,21600r21600,l21600,xe">
                <v:stroke joinstyle="miter"/>
                <v:path gradientshapeok="t" o:connecttype="rect"/>
              </v:shapetype>
              <v:shape id="Text Box 2" o:spid="_x0000_s1026" type="#_x0000_t202" style="position:absolute;left:0;text-align:left;margin-left:10.85pt;margin-top:7.6pt;width:35.2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" stroked="f">
                <v:textbox>
                  <w:txbxContent>
                    <w:p w:rsidR="00BA60F5" w:rsidRPr="00054B2A" w:rsidRDefault="00BA60F5" w:rsidP="00B30847">
                      <w:pPr>
                        <w:ind w:firstLine="0"/>
                        <w:jc w:val="left"/>
                        <w:rPr>
                          <w:b/>
                        </w:rPr>
                      </w:pPr>
                      <w:r w:rsidRPr="00054B2A">
                        <w:rPr>
                          <w:b/>
                        </w:rPr>
                        <w:t>a.</w:t>
                      </w:r>
                    </w:p>
                  </w:txbxContent>
                </v:textbox>
              </v:shape>
            </w:pict>
          </mc:Fallback>
        </mc:AlternateContent>
      </w:r>
    </w:p>
    <w:p w:rsidR="00EC386F" w:rsidRDefault="004851B4" w:rsidP="00234195">
      <w:pPr>
        <w:spacing w:after="0" w:line="240" w:lineRule="auto"/>
        <w:jc w:val="left"/>
        <w:rPr>
          <w:lang w:val="es-ES"/>
        </w:rPr>
      </w:pPr>
      <w:r>
        <w:rPr>
          <w:noProof/>
          <w:lang w:val="en-US"/>
        </w:rPr>
        <mc:AlternateContent>
          <mc:Choice Requires="wps">
            <w:drawing>
              <wp:anchor distT="0" distB="0" distL="114300" distR="114300" simplePos="0" relativeHeight="251661312" behindDoc="0" locked="0" layoutInCell="1" allowOverlap="1" wp14:anchorId="1922A1B4" wp14:editId="60A22704">
                <wp:simplePos x="0" y="0"/>
                <wp:positionH relativeFrom="column">
                  <wp:posOffset>139700</wp:posOffset>
                </wp:positionH>
                <wp:positionV relativeFrom="paragraph">
                  <wp:posOffset>1772285</wp:posOffset>
                </wp:positionV>
                <wp:extent cx="352425" cy="228600"/>
                <wp:effectExtent l="0" t="0" r="9525"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0F5" w:rsidRPr="006C0B71" w:rsidRDefault="00BA60F5" w:rsidP="00B30847">
                            <w:pPr>
                              <w:ind w:firstLine="0"/>
                              <w:rPr>
                                <w:rFonts w:cs="Arial"/>
                                <w:b/>
                                <w:lang w:val="es-ES"/>
                              </w:rPr>
                            </w:pPr>
                            <w:r>
                              <w:rPr>
                                <w:rFonts w:cs="Arial"/>
                                <w:b/>
                                <w:lang w:val="es-ES"/>
                              </w:rPr>
                              <w:t>b</w:t>
                            </w:r>
                            <w:r w:rsidRPr="006C0B71">
                              <w:rPr>
                                <w:rFonts w:cs="Arial"/>
                                <w:b/>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2A1B4" id="Text Box 3" o:spid="_x0000_s1027" type="#_x0000_t202" style="position:absolute;left:0;text-align:left;margin-left:11pt;margin-top:139.55pt;width:27.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uhQIAABY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" stroked="f">
                <v:textbox>
                  <w:txbxContent>
                    <w:p w:rsidR="00BA60F5" w:rsidRPr="006C0B71" w:rsidRDefault="00BA60F5" w:rsidP="00B30847">
                      <w:pPr>
                        <w:ind w:firstLine="0"/>
                        <w:rPr>
                          <w:rFonts w:cs="Arial"/>
                          <w:b/>
                          <w:lang w:val="es-ES"/>
                        </w:rPr>
                      </w:pPr>
                      <w:r>
                        <w:rPr>
                          <w:rFonts w:cs="Arial"/>
                          <w:b/>
                          <w:lang w:val="es-ES"/>
                        </w:rPr>
                        <w:t>b</w:t>
                      </w:r>
                      <w:r w:rsidRPr="006C0B71">
                        <w:rPr>
                          <w:rFonts w:cs="Arial"/>
                          <w:b/>
                          <w:lang w:val="es-ES"/>
                        </w:rPr>
                        <w:t>.</w:t>
                      </w:r>
                    </w:p>
                  </w:txbxContent>
                </v:textbox>
              </v:shape>
            </w:pict>
          </mc:Fallback>
        </mc:AlternateContent>
      </w:r>
      <w:r w:rsidR="00EC386F">
        <w:rPr>
          <w:noProof/>
          <w:lang w:val="en-US"/>
        </w:rPr>
        <w:drawing>
          <wp:inline distT="0" distB="0" distL="0" distR="0" wp14:anchorId="47BFC03C" wp14:editId="223E9A56">
            <wp:extent cx="4914457" cy="1616149"/>
            <wp:effectExtent l="19050" t="0" r="443" b="0"/>
            <wp:docPr id="7" name="Imagen 4"/>
            <wp:cNvGraphicFramePr/>
            <a:graphic xmlns:a="http://schemas.openxmlformats.org/drawingml/2006/main">
              <a:graphicData uri="http://schemas.openxmlformats.org/drawingml/2006/picture">
                <pic:pic xmlns:pic="http://schemas.openxmlformats.org/drawingml/2006/picture">
                  <pic:nvPicPr>
                    <pic:cNvPr id="5182" name="Picture 1"/>
                    <pic:cNvPicPr>
                      <a:picLocks noChangeAspect="1" noChangeArrowheads="1"/>
                    </pic:cNvPicPr>
                  </pic:nvPicPr>
                  <pic:blipFill>
                    <a:blip r:embed="rId12" cstate="print"/>
                    <a:srcRect l="156" t="40868" r="31407" b="32324"/>
                    <a:stretch>
                      <a:fillRect/>
                    </a:stretch>
                  </pic:blipFill>
                  <pic:spPr bwMode="auto">
                    <a:xfrm>
                      <a:off x="0" y="0"/>
                      <a:ext cx="4923887" cy="1619250"/>
                    </a:xfrm>
                    <a:prstGeom prst="rect">
                      <a:avLst/>
                    </a:prstGeom>
                    <a:noFill/>
                    <a:ln w="1">
                      <a:noFill/>
                      <a:miter lim="800000"/>
                      <a:headEnd/>
                      <a:tailEnd/>
                    </a:ln>
                  </pic:spPr>
                </pic:pic>
              </a:graphicData>
            </a:graphic>
          </wp:inline>
        </w:drawing>
      </w:r>
    </w:p>
    <w:p w:rsidR="00EC386F" w:rsidRDefault="00EC386F" w:rsidP="00234195">
      <w:pPr>
        <w:spacing w:after="0" w:line="240" w:lineRule="auto"/>
        <w:jc w:val="left"/>
        <w:rPr>
          <w:lang w:val="es-ES"/>
        </w:rPr>
      </w:pPr>
      <w:r>
        <w:rPr>
          <w:noProof/>
          <w:lang w:val="en-US"/>
        </w:rPr>
        <w:drawing>
          <wp:inline distT="0" distB="0" distL="0" distR="0" wp14:anchorId="56B3953B" wp14:editId="4270D6EB">
            <wp:extent cx="4914457" cy="1400903"/>
            <wp:effectExtent l="19050" t="0" r="443" b="0"/>
            <wp:docPr id="8" name="Imagen 3"/>
            <wp:cNvGraphicFramePr/>
            <a:graphic xmlns:a="http://schemas.openxmlformats.org/drawingml/2006/main">
              <a:graphicData uri="http://schemas.openxmlformats.org/drawingml/2006/picture">
                <pic:pic xmlns:pic="http://schemas.openxmlformats.org/drawingml/2006/picture">
                  <pic:nvPicPr>
                    <pic:cNvPr id="21599" name="Picture 2"/>
                    <pic:cNvPicPr>
                      <a:picLocks noChangeAspect="1" noChangeArrowheads="1"/>
                    </pic:cNvPicPr>
                  </pic:nvPicPr>
                  <pic:blipFill>
                    <a:blip r:embed="rId13" cstate="print"/>
                    <a:srcRect l="883" t="44774" r="20078" b="21777"/>
                    <a:stretch>
                      <a:fillRect/>
                    </a:stretch>
                  </pic:blipFill>
                  <pic:spPr bwMode="auto">
                    <a:xfrm>
                      <a:off x="0" y="0"/>
                      <a:ext cx="4911905" cy="1400175"/>
                    </a:xfrm>
                    <a:prstGeom prst="rect">
                      <a:avLst/>
                    </a:prstGeom>
                    <a:noFill/>
                    <a:ln w="1">
                      <a:noFill/>
                      <a:miter lim="800000"/>
                      <a:headEnd/>
                      <a:tailEnd/>
                    </a:ln>
                  </pic:spPr>
                </pic:pic>
              </a:graphicData>
            </a:graphic>
          </wp:inline>
        </w:drawing>
      </w:r>
    </w:p>
    <w:p w:rsidR="007D7A60" w:rsidRPr="0092789C" w:rsidRDefault="004851B4" w:rsidP="00234195">
      <w:pPr>
        <w:keepNext/>
        <w:spacing w:after="0" w:line="240" w:lineRule="auto"/>
        <w:jc w:val="left"/>
      </w:pPr>
      <w:r>
        <w:rPr>
          <w:noProof/>
          <w:lang w:val="en-US"/>
        </w:rPr>
        <mc:AlternateContent>
          <mc:Choice Requires="wps">
            <w:drawing>
              <wp:anchor distT="0" distB="0" distL="114300" distR="114300" simplePos="0" relativeHeight="251662336" behindDoc="0" locked="0" layoutInCell="1" allowOverlap="1" wp14:anchorId="7DF1D114" wp14:editId="40EEF90E">
                <wp:simplePos x="0" y="0"/>
                <wp:positionH relativeFrom="column">
                  <wp:posOffset>106680</wp:posOffset>
                </wp:positionH>
                <wp:positionV relativeFrom="paragraph">
                  <wp:posOffset>15240</wp:posOffset>
                </wp:positionV>
                <wp:extent cx="352425" cy="228600"/>
                <wp:effectExtent l="0" t="0" r="9525"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0F5" w:rsidRPr="006C0B71" w:rsidRDefault="00BA60F5" w:rsidP="00B30847">
                            <w:pPr>
                              <w:ind w:firstLine="0"/>
                              <w:rPr>
                                <w:rFonts w:cs="Arial"/>
                                <w:b/>
                                <w:lang w:val="es-ES"/>
                              </w:rPr>
                            </w:pPr>
                            <w:r>
                              <w:rPr>
                                <w:rFonts w:cs="Arial"/>
                                <w:b/>
                                <w:lang w:val="es-ES"/>
                              </w:rPr>
                              <w:t>c</w:t>
                            </w:r>
                            <w:r w:rsidRPr="006C0B71">
                              <w:rPr>
                                <w:rFonts w:cs="Arial"/>
                                <w:b/>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1D114" id="Text Box 4" o:spid="_x0000_s1028" type="#_x0000_t202" style="position:absolute;left:0;text-align:left;margin-left:8.4pt;margin-top:1.2pt;width:27.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JqhgIAABY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" stroked="f">
                <v:textbox>
                  <w:txbxContent>
                    <w:p w:rsidR="00BA60F5" w:rsidRPr="006C0B71" w:rsidRDefault="00BA60F5" w:rsidP="00B30847">
                      <w:pPr>
                        <w:ind w:firstLine="0"/>
                        <w:rPr>
                          <w:rFonts w:cs="Arial"/>
                          <w:b/>
                          <w:lang w:val="es-ES"/>
                        </w:rPr>
                      </w:pPr>
                      <w:r>
                        <w:rPr>
                          <w:rFonts w:cs="Arial"/>
                          <w:b/>
                          <w:lang w:val="es-ES"/>
                        </w:rPr>
                        <w:t>c</w:t>
                      </w:r>
                      <w:r w:rsidRPr="006C0B71">
                        <w:rPr>
                          <w:rFonts w:cs="Arial"/>
                          <w:b/>
                          <w:lang w:val="es-ES"/>
                        </w:rPr>
                        <w:t>.</w:t>
                      </w:r>
                    </w:p>
                  </w:txbxContent>
                </v:textbox>
              </v:shape>
            </w:pict>
          </mc:Fallback>
        </mc:AlternateContent>
      </w:r>
      <w:r w:rsidR="00EC386F" w:rsidRPr="0092789C">
        <w:rPr>
          <w:noProof/>
          <w:lang w:val="en-US"/>
        </w:rPr>
        <w:drawing>
          <wp:inline distT="0" distB="0" distL="0" distR="0" wp14:anchorId="2AD5739E" wp14:editId="59C12C98">
            <wp:extent cx="4967620" cy="1676686"/>
            <wp:effectExtent l="19050" t="0" r="4430" b="0"/>
            <wp:docPr id="9" name="Imagen 2"/>
            <wp:cNvGraphicFramePr/>
            <a:graphic xmlns:a="http://schemas.openxmlformats.org/drawingml/2006/main">
              <a:graphicData uri="http://schemas.openxmlformats.org/drawingml/2006/picture">
                <pic:pic xmlns:pic="http://schemas.openxmlformats.org/drawingml/2006/picture">
                  <pic:nvPicPr>
                    <pic:cNvPr id="156681" name="3 Imagen"/>
                    <pic:cNvPicPr>
                      <a:picLocks noChangeAspect="1"/>
                    </pic:cNvPicPr>
                  </pic:nvPicPr>
                  <pic:blipFill>
                    <a:blip r:embed="rId14" cstate="print"/>
                    <a:srcRect l="13387" t="32005" r="49910" b="45827"/>
                    <a:stretch>
                      <a:fillRect/>
                    </a:stretch>
                  </pic:blipFill>
                  <pic:spPr bwMode="auto">
                    <a:xfrm>
                      <a:off x="0" y="0"/>
                      <a:ext cx="4966772" cy="1676400"/>
                    </a:xfrm>
                    <a:prstGeom prst="rect">
                      <a:avLst/>
                    </a:prstGeom>
                    <a:noFill/>
                    <a:ln w="9525">
                      <a:noFill/>
                      <a:miter lim="800000"/>
                      <a:headEnd/>
                      <a:tailEnd/>
                    </a:ln>
                  </pic:spPr>
                </pic:pic>
              </a:graphicData>
            </a:graphic>
          </wp:inline>
        </w:drawing>
      </w:r>
    </w:p>
    <w:p w:rsidR="00EC386F" w:rsidRDefault="007D7A60" w:rsidP="00234195">
      <w:pPr>
        <w:pStyle w:val="Caption"/>
        <w:spacing w:after="0"/>
        <w:jc w:val="center"/>
        <w:rPr>
          <w:b w:val="0"/>
          <w:color w:val="auto"/>
          <w:sz w:val="22"/>
          <w:szCs w:val="22"/>
          <w:lang w:val="es-ES"/>
        </w:rPr>
      </w:pPr>
      <w:r w:rsidRPr="0092789C">
        <w:rPr>
          <w:color w:val="auto"/>
          <w:sz w:val="22"/>
          <w:szCs w:val="22"/>
          <w:lang w:val="es-ES"/>
        </w:rPr>
        <w:t xml:space="preserve">Figura </w:t>
      </w:r>
      <w:r w:rsidR="003D1BEB" w:rsidRPr="0092789C">
        <w:rPr>
          <w:color w:val="auto"/>
          <w:sz w:val="22"/>
          <w:szCs w:val="22"/>
          <w:lang w:val="es-ES"/>
        </w:rPr>
        <w:fldChar w:fldCharType="begin"/>
      </w:r>
      <w:r w:rsidR="003D1BEB" w:rsidRPr="0092789C">
        <w:rPr>
          <w:color w:val="auto"/>
          <w:sz w:val="22"/>
          <w:szCs w:val="22"/>
          <w:lang w:val="es-ES"/>
        </w:rPr>
        <w:instrText xml:space="preserve"> SEQ Figura \* ARABIC </w:instrText>
      </w:r>
      <w:r w:rsidR="003D1BEB" w:rsidRPr="0092789C">
        <w:rPr>
          <w:color w:val="auto"/>
          <w:sz w:val="22"/>
          <w:szCs w:val="22"/>
          <w:lang w:val="es-ES"/>
        </w:rPr>
        <w:fldChar w:fldCharType="separate"/>
      </w:r>
      <w:r w:rsidR="00C206C9">
        <w:rPr>
          <w:noProof/>
          <w:color w:val="auto"/>
          <w:sz w:val="22"/>
          <w:szCs w:val="22"/>
          <w:lang w:val="es-ES"/>
        </w:rPr>
        <w:t>1</w:t>
      </w:r>
      <w:r w:rsidR="003D1BEB" w:rsidRPr="0092789C">
        <w:rPr>
          <w:color w:val="auto"/>
          <w:sz w:val="22"/>
          <w:szCs w:val="22"/>
          <w:lang w:val="es-ES"/>
        </w:rPr>
        <w:fldChar w:fldCharType="end"/>
      </w:r>
      <w:r w:rsidRPr="0092789C">
        <w:rPr>
          <w:color w:val="auto"/>
          <w:sz w:val="22"/>
          <w:szCs w:val="22"/>
          <w:lang w:val="es-ES"/>
        </w:rPr>
        <w:t xml:space="preserve"> </w:t>
      </w:r>
      <w:r w:rsidR="00EC386F" w:rsidRPr="0092789C">
        <w:rPr>
          <w:b w:val="0"/>
          <w:color w:val="auto"/>
          <w:sz w:val="22"/>
          <w:szCs w:val="22"/>
          <w:lang w:val="es-ES"/>
        </w:rPr>
        <w:t>Cromatogramas obtenidos en cada uno de los métodos</w:t>
      </w:r>
      <w:r w:rsidRPr="0092789C">
        <w:rPr>
          <w:b w:val="0"/>
          <w:color w:val="auto"/>
          <w:sz w:val="22"/>
          <w:szCs w:val="22"/>
          <w:lang w:val="es-ES"/>
        </w:rPr>
        <w:t xml:space="preserve"> </w:t>
      </w:r>
      <w:r w:rsidR="00EC386F" w:rsidRPr="0092789C">
        <w:rPr>
          <w:b w:val="0"/>
          <w:color w:val="auto"/>
          <w:sz w:val="22"/>
          <w:szCs w:val="22"/>
          <w:lang w:val="es-ES"/>
        </w:rPr>
        <w:t>propuestos.</w:t>
      </w:r>
      <w:r w:rsidR="00AD440D" w:rsidRPr="0092789C">
        <w:rPr>
          <w:b w:val="0"/>
          <w:color w:val="auto"/>
          <w:sz w:val="22"/>
          <w:szCs w:val="22"/>
          <w:lang w:val="es-ES"/>
        </w:rPr>
        <w:t xml:space="preserve"> </w:t>
      </w:r>
      <w:r w:rsidR="00EC386F" w:rsidRPr="0092789C">
        <w:rPr>
          <w:b w:val="0"/>
          <w:color w:val="auto"/>
          <w:sz w:val="22"/>
          <w:szCs w:val="22"/>
          <w:lang w:val="es-ES"/>
        </w:rPr>
        <w:t xml:space="preserve"> </w:t>
      </w:r>
      <w:r w:rsidR="003D1BEB" w:rsidRPr="0092789C">
        <w:rPr>
          <w:b w:val="0"/>
          <w:color w:val="auto"/>
          <w:sz w:val="22"/>
          <w:szCs w:val="22"/>
          <w:lang w:val="es-ES"/>
        </w:rPr>
        <w:br/>
      </w:r>
      <w:r w:rsidR="00EC386F" w:rsidRPr="0092789C">
        <w:rPr>
          <w:color w:val="auto"/>
          <w:sz w:val="22"/>
          <w:szCs w:val="22"/>
          <w:lang w:val="es-ES"/>
        </w:rPr>
        <w:t>a.</w:t>
      </w:r>
      <w:r w:rsidR="00EC386F" w:rsidRPr="0092789C">
        <w:rPr>
          <w:b w:val="0"/>
          <w:color w:val="auto"/>
          <w:sz w:val="22"/>
          <w:szCs w:val="22"/>
          <w:lang w:val="es-ES"/>
        </w:rPr>
        <w:t xml:space="preserve"> Método 1,</w:t>
      </w:r>
      <w:r w:rsidR="00EC386F" w:rsidRPr="0092789C">
        <w:rPr>
          <w:color w:val="auto"/>
          <w:sz w:val="22"/>
          <w:szCs w:val="22"/>
          <w:lang w:val="es-ES"/>
        </w:rPr>
        <w:t xml:space="preserve"> b.</w:t>
      </w:r>
      <w:r w:rsidR="00EC386F" w:rsidRPr="0092789C">
        <w:rPr>
          <w:b w:val="0"/>
          <w:color w:val="auto"/>
          <w:sz w:val="22"/>
          <w:szCs w:val="22"/>
          <w:lang w:val="es-ES"/>
        </w:rPr>
        <w:t xml:space="preserve"> Método 2, </w:t>
      </w:r>
      <w:r w:rsidR="00EC386F" w:rsidRPr="0092789C">
        <w:rPr>
          <w:color w:val="auto"/>
          <w:sz w:val="22"/>
          <w:szCs w:val="22"/>
          <w:lang w:val="es-ES"/>
        </w:rPr>
        <w:t>c.</w:t>
      </w:r>
      <w:r w:rsidR="00EC386F" w:rsidRPr="0092789C">
        <w:rPr>
          <w:b w:val="0"/>
          <w:color w:val="auto"/>
          <w:sz w:val="22"/>
          <w:szCs w:val="22"/>
          <w:lang w:val="es-ES"/>
        </w:rPr>
        <w:t xml:space="preserve"> Método 3</w:t>
      </w:r>
      <w:r w:rsidR="00AD440D" w:rsidRPr="0092789C">
        <w:rPr>
          <w:b w:val="0"/>
          <w:color w:val="auto"/>
          <w:sz w:val="22"/>
          <w:szCs w:val="22"/>
          <w:lang w:val="es-ES"/>
        </w:rPr>
        <w:t>,</w:t>
      </w:r>
      <w:r w:rsidR="00EC386F" w:rsidRPr="0092789C">
        <w:rPr>
          <w:b w:val="0"/>
          <w:color w:val="auto"/>
          <w:sz w:val="22"/>
          <w:szCs w:val="22"/>
          <w:lang w:val="es-ES"/>
        </w:rPr>
        <w:t xml:space="preserve"> optimizado en tiempo.</w:t>
      </w:r>
    </w:p>
    <w:p w:rsidR="00577632" w:rsidRPr="00577632" w:rsidRDefault="00577632" w:rsidP="00234195">
      <w:pPr>
        <w:spacing w:line="240" w:lineRule="auto"/>
        <w:rPr>
          <w:lang w:val="es-ES"/>
        </w:rPr>
      </w:pPr>
    </w:p>
    <w:p w:rsidR="005E14B4" w:rsidRDefault="005E14B4" w:rsidP="005A6063">
      <w:pPr>
        <w:pStyle w:val="Heading2"/>
      </w:pPr>
      <w:bookmarkStart w:id="53" w:name="_Toc429397065"/>
      <w:r w:rsidRPr="00350733">
        <w:t>Caracterización del material s</w:t>
      </w:r>
      <w:r w:rsidR="00630C87">
        <w:t>intetizado</w:t>
      </w:r>
      <w:bookmarkEnd w:id="53"/>
    </w:p>
    <w:p w:rsidR="00630C87" w:rsidRDefault="008938A4" w:rsidP="005A6063">
      <w:pPr>
        <w:pStyle w:val="Heading3"/>
      </w:pPr>
      <w:bookmarkStart w:id="54" w:name="_Toc429397066"/>
      <w:r>
        <w:t>Evaluación de la estructura mesoporosa</w:t>
      </w:r>
      <w:bookmarkEnd w:id="54"/>
    </w:p>
    <w:p w:rsidR="003D1BEB" w:rsidRDefault="008938A4" w:rsidP="00234195">
      <w:pPr>
        <w:spacing w:after="0" w:line="240" w:lineRule="auto"/>
        <w:rPr>
          <w:lang w:val="es-ES" w:eastAsia="es-ES"/>
        </w:rPr>
      </w:pPr>
      <w:r>
        <w:rPr>
          <w:lang w:val="es-ES" w:eastAsia="es-ES"/>
        </w:rPr>
        <w:t xml:space="preserve">En primer lugar se evaluaron </w:t>
      </w:r>
      <w:r w:rsidR="00477E0F">
        <w:rPr>
          <w:lang w:val="es-ES" w:eastAsia="es-ES"/>
        </w:rPr>
        <w:t xml:space="preserve">los patrones de difracción </w:t>
      </w:r>
      <w:r>
        <w:rPr>
          <w:lang w:val="es-ES" w:eastAsia="es-ES"/>
        </w:rPr>
        <w:t xml:space="preserve">de rayos X (XRD). </w:t>
      </w:r>
      <w:r w:rsidRPr="00630C87">
        <w:rPr>
          <w:lang w:val="es-ES" w:eastAsia="es-ES"/>
        </w:rPr>
        <w:t xml:space="preserve">La </w:t>
      </w:r>
      <w:r>
        <w:rPr>
          <w:lang w:val="es-ES" w:eastAsia="es-ES"/>
        </w:rPr>
        <w:t>figura 2 muestra para e</w:t>
      </w:r>
      <w:r w:rsidR="00477E0F">
        <w:rPr>
          <w:lang w:val="es-ES" w:eastAsia="es-ES"/>
        </w:rPr>
        <w:t xml:space="preserve">l sólido MCM-41 </w:t>
      </w:r>
      <w:r>
        <w:rPr>
          <w:lang w:val="es-ES" w:eastAsia="es-ES"/>
        </w:rPr>
        <w:t xml:space="preserve">que </w:t>
      </w:r>
      <w:r w:rsidR="00477E0F">
        <w:rPr>
          <w:lang w:val="es-ES" w:eastAsia="es-ES"/>
        </w:rPr>
        <w:t xml:space="preserve">las curvas obtenidas </w:t>
      </w:r>
      <w:r>
        <w:rPr>
          <w:lang w:val="es-ES" w:eastAsia="es-ES"/>
        </w:rPr>
        <w:t>present</w:t>
      </w:r>
      <w:r w:rsidR="00630C87" w:rsidRPr="00630C87">
        <w:rPr>
          <w:lang w:val="es-ES" w:eastAsia="es-ES"/>
        </w:rPr>
        <w:t>a</w:t>
      </w:r>
      <w:r w:rsidR="00477E0F">
        <w:rPr>
          <w:lang w:val="es-ES" w:eastAsia="es-ES"/>
        </w:rPr>
        <w:t>n</w:t>
      </w:r>
      <w:r w:rsidR="00630C87" w:rsidRPr="00630C87">
        <w:rPr>
          <w:lang w:val="es-ES" w:eastAsia="es-ES"/>
        </w:rPr>
        <w:t xml:space="preserve"> </w:t>
      </w:r>
      <w:r w:rsidR="00477E0F">
        <w:rPr>
          <w:lang w:val="es-ES" w:eastAsia="es-ES"/>
        </w:rPr>
        <w:lastRenderedPageBreak/>
        <w:t xml:space="preserve">las </w:t>
      </w:r>
      <w:r w:rsidR="00630C87" w:rsidRPr="00630C87">
        <w:rPr>
          <w:lang w:val="es-ES" w:eastAsia="es-ES"/>
        </w:rPr>
        <w:t>cuatro reflexiones de bajo ángulo</w:t>
      </w:r>
      <w:r w:rsidR="00477E0F">
        <w:rPr>
          <w:lang w:val="es-ES" w:eastAsia="es-ES"/>
        </w:rPr>
        <w:t>,</w:t>
      </w:r>
      <w:r w:rsidR="00630C87" w:rsidRPr="00630C87">
        <w:rPr>
          <w:lang w:val="es-ES" w:eastAsia="es-ES"/>
        </w:rPr>
        <w:t xml:space="preserve"> típicos de un arreglo hexagonal</w:t>
      </w:r>
      <w:r w:rsidR="00477E0F">
        <w:rPr>
          <w:lang w:val="es-ES" w:eastAsia="es-ES"/>
        </w:rPr>
        <w:t>, lo que confirma la estructura del sólido sintetizado. Adicionalmente</w:t>
      </w:r>
      <w:r w:rsidR="007D601D">
        <w:rPr>
          <w:lang w:val="es-ES" w:eastAsia="es-ES"/>
        </w:rPr>
        <w:t>,</w:t>
      </w:r>
      <w:r w:rsidR="00477E0F">
        <w:rPr>
          <w:lang w:val="es-ES" w:eastAsia="es-ES"/>
        </w:rPr>
        <w:t xml:space="preserve"> el significativo cambio de intensidad en el primer ángulo (100), entre la muestra sin calcinar y la calcinada, confirman que la eliminación del surfactante (CTAB) ha despejado los poros y</w:t>
      </w:r>
      <w:r w:rsidR="007D601D">
        <w:rPr>
          <w:lang w:val="es-ES" w:eastAsia="es-ES"/>
        </w:rPr>
        <w:t>,</w:t>
      </w:r>
      <w:r w:rsidR="00477E0F">
        <w:rPr>
          <w:lang w:val="es-ES" w:eastAsia="es-ES"/>
        </w:rPr>
        <w:t xml:space="preserve"> por tanto</w:t>
      </w:r>
      <w:r w:rsidR="007D601D">
        <w:rPr>
          <w:lang w:val="es-ES" w:eastAsia="es-ES"/>
        </w:rPr>
        <w:t>,</w:t>
      </w:r>
      <w:r w:rsidR="00477E0F">
        <w:rPr>
          <w:lang w:val="es-ES" w:eastAsia="es-ES"/>
        </w:rPr>
        <w:t xml:space="preserve"> no se ha dañado la estructura del sólido. Por otro lado, en la curva a2, aunque la intensidad se modifica, l</w:t>
      </w:r>
      <w:r w:rsidR="00630C87" w:rsidRPr="00630C87">
        <w:rPr>
          <w:lang w:val="es-ES" w:eastAsia="es-ES"/>
        </w:rPr>
        <w:t>a presencia de este</w:t>
      </w:r>
      <w:r w:rsidR="00477E0F">
        <w:rPr>
          <w:lang w:val="es-ES" w:eastAsia="es-ES"/>
        </w:rPr>
        <w:t xml:space="preserve"> </w:t>
      </w:r>
      <w:r w:rsidR="00630C87" w:rsidRPr="00630C87">
        <w:rPr>
          <w:lang w:val="es-ES" w:eastAsia="es-ES"/>
        </w:rPr>
        <w:t xml:space="preserve">pico </w:t>
      </w:r>
      <w:r w:rsidR="00477E0F">
        <w:rPr>
          <w:lang w:val="es-ES" w:eastAsia="es-ES"/>
        </w:rPr>
        <w:t xml:space="preserve">(100) después del proceso de encapsulado, </w:t>
      </w:r>
      <w:r w:rsidR="00630C87" w:rsidRPr="00630C87">
        <w:rPr>
          <w:lang w:val="es-ES" w:eastAsia="es-ES"/>
        </w:rPr>
        <w:t>indica que la estructura mesoporosa se preserv</w:t>
      </w:r>
      <w:r w:rsidR="00477E0F">
        <w:rPr>
          <w:lang w:val="es-ES" w:eastAsia="es-ES"/>
        </w:rPr>
        <w:t xml:space="preserve">a. </w:t>
      </w:r>
    </w:p>
    <w:p w:rsidR="005A6063" w:rsidRDefault="005A6063" w:rsidP="00234195">
      <w:pPr>
        <w:spacing w:after="0" w:line="240" w:lineRule="auto"/>
        <w:rPr>
          <w:lang w:val="es-ES" w:eastAsia="es-ES"/>
        </w:rPr>
      </w:pPr>
    </w:p>
    <w:p w:rsidR="00B84AB5" w:rsidRDefault="00B84AB5" w:rsidP="00234195">
      <w:pPr>
        <w:keepNext/>
        <w:spacing w:after="0" w:line="240" w:lineRule="auto"/>
        <w:jc w:val="center"/>
      </w:pPr>
      <w:r w:rsidRPr="00B84AB5">
        <w:rPr>
          <w:noProof/>
          <w:lang w:val="en-US"/>
        </w:rPr>
        <w:drawing>
          <wp:inline distT="0" distB="0" distL="0" distR="0" wp14:anchorId="62D8A5E6" wp14:editId="2C614ADD">
            <wp:extent cx="4114543" cy="2752725"/>
            <wp:effectExtent l="0" t="0" r="0" b="0"/>
            <wp:docPr id="3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125819" cy="2760269"/>
                    </a:xfrm>
                    <a:prstGeom prst="rect">
                      <a:avLst/>
                    </a:prstGeom>
                    <a:noFill/>
                    <a:ln w="9525">
                      <a:noFill/>
                      <a:miter lim="800000"/>
                      <a:headEnd/>
                      <a:tailEnd/>
                    </a:ln>
                  </pic:spPr>
                </pic:pic>
              </a:graphicData>
            </a:graphic>
          </wp:inline>
        </w:drawing>
      </w:r>
    </w:p>
    <w:p w:rsidR="00630C87" w:rsidRPr="0092789C" w:rsidRDefault="00630C87" w:rsidP="00234195">
      <w:pPr>
        <w:pStyle w:val="Caption"/>
        <w:spacing w:after="0"/>
        <w:rPr>
          <w:b w:val="0"/>
          <w:color w:val="auto"/>
          <w:sz w:val="22"/>
          <w:szCs w:val="22"/>
          <w:lang w:val="es-ES"/>
        </w:rPr>
      </w:pPr>
      <w:r w:rsidRPr="0092789C">
        <w:rPr>
          <w:color w:val="auto"/>
          <w:sz w:val="22"/>
          <w:szCs w:val="22"/>
          <w:lang w:val="es-ES"/>
        </w:rPr>
        <w:t xml:space="preserve">Figura </w:t>
      </w:r>
      <w:r w:rsidR="003D1BEB" w:rsidRPr="0092789C">
        <w:rPr>
          <w:color w:val="auto"/>
          <w:sz w:val="22"/>
          <w:szCs w:val="22"/>
          <w:lang w:val="es-ES"/>
        </w:rPr>
        <w:fldChar w:fldCharType="begin"/>
      </w:r>
      <w:r w:rsidR="003D1BEB" w:rsidRPr="0092789C">
        <w:rPr>
          <w:color w:val="auto"/>
          <w:sz w:val="22"/>
          <w:szCs w:val="22"/>
          <w:lang w:val="es-ES"/>
        </w:rPr>
        <w:instrText xml:space="preserve"> SEQ Figura \* ARABIC </w:instrText>
      </w:r>
      <w:r w:rsidR="003D1BEB" w:rsidRPr="0092789C">
        <w:rPr>
          <w:color w:val="auto"/>
          <w:sz w:val="22"/>
          <w:szCs w:val="22"/>
          <w:lang w:val="es-ES"/>
        </w:rPr>
        <w:fldChar w:fldCharType="separate"/>
      </w:r>
      <w:r w:rsidR="00C206C9">
        <w:rPr>
          <w:noProof/>
          <w:color w:val="auto"/>
          <w:sz w:val="22"/>
          <w:szCs w:val="22"/>
          <w:lang w:val="es-ES"/>
        </w:rPr>
        <w:t>2</w:t>
      </w:r>
      <w:r w:rsidR="003D1BEB" w:rsidRPr="0092789C">
        <w:rPr>
          <w:color w:val="auto"/>
          <w:sz w:val="22"/>
          <w:szCs w:val="22"/>
          <w:lang w:val="es-ES"/>
        </w:rPr>
        <w:fldChar w:fldCharType="end"/>
      </w:r>
      <w:r w:rsidRPr="0092789C">
        <w:rPr>
          <w:color w:val="auto"/>
          <w:sz w:val="22"/>
          <w:szCs w:val="22"/>
          <w:lang w:val="es-ES"/>
        </w:rPr>
        <w:t xml:space="preserve">. </w:t>
      </w:r>
      <w:r w:rsidRPr="0092789C">
        <w:rPr>
          <w:b w:val="0"/>
          <w:color w:val="auto"/>
          <w:sz w:val="22"/>
          <w:szCs w:val="22"/>
          <w:lang w:val="es-ES"/>
        </w:rPr>
        <w:t xml:space="preserve">Patrón de difracción de rayos X </w:t>
      </w:r>
      <w:r w:rsidRPr="0092789C">
        <w:rPr>
          <w:color w:val="auto"/>
          <w:sz w:val="22"/>
          <w:szCs w:val="22"/>
          <w:lang w:val="es-ES"/>
        </w:rPr>
        <w:t>a</w:t>
      </w:r>
      <w:r w:rsidRPr="0092789C">
        <w:rPr>
          <w:b w:val="0"/>
          <w:color w:val="auto"/>
          <w:sz w:val="22"/>
          <w:szCs w:val="22"/>
          <w:lang w:val="es-ES"/>
        </w:rPr>
        <w:t xml:space="preserve">. </w:t>
      </w:r>
      <w:r w:rsidR="00B84AB5" w:rsidRPr="0092789C">
        <w:rPr>
          <w:b w:val="0"/>
          <w:color w:val="auto"/>
          <w:sz w:val="22"/>
          <w:szCs w:val="22"/>
          <w:lang w:val="es-ES"/>
        </w:rPr>
        <w:t xml:space="preserve">Sólido MCM-41 </w:t>
      </w:r>
      <w:r w:rsidR="00B84AB5" w:rsidRPr="0092789C">
        <w:rPr>
          <w:color w:val="auto"/>
          <w:sz w:val="22"/>
          <w:szCs w:val="22"/>
          <w:lang w:val="es-ES"/>
        </w:rPr>
        <w:t>a1</w:t>
      </w:r>
      <w:r w:rsidR="00B84AB5" w:rsidRPr="0092789C">
        <w:rPr>
          <w:b w:val="0"/>
          <w:color w:val="auto"/>
          <w:sz w:val="22"/>
          <w:szCs w:val="22"/>
          <w:lang w:val="es-ES"/>
        </w:rPr>
        <w:t xml:space="preserve">. </w:t>
      </w:r>
      <w:r w:rsidR="008E4461" w:rsidRPr="0092789C">
        <w:rPr>
          <w:b w:val="0"/>
          <w:color w:val="auto"/>
          <w:sz w:val="22"/>
          <w:szCs w:val="22"/>
          <w:lang w:val="es-ES"/>
        </w:rPr>
        <w:t>Sintetizado</w:t>
      </w:r>
      <w:r w:rsidR="00B84AB5" w:rsidRPr="0092789C">
        <w:rPr>
          <w:b w:val="0"/>
          <w:color w:val="auto"/>
          <w:sz w:val="22"/>
          <w:szCs w:val="22"/>
          <w:lang w:val="es-ES"/>
        </w:rPr>
        <w:t xml:space="preserve"> sin calcinar, </w:t>
      </w:r>
      <w:r w:rsidR="00B84AB5" w:rsidRPr="0092789C">
        <w:rPr>
          <w:color w:val="auto"/>
          <w:sz w:val="22"/>
          <w:szCs w:val="22"/>
          <w:lang w:val="es-ES"/>
        </w:rPr>
        <w:t>a2</w:t>
      </w:r>
      <w:r w:rsidR="00B84AB5" w:rsidRPr="0092789C">
        <w:rPr>
          <w:b w:val="0"/>
          <w:color w:val="auto"/>
          <w:sz w:val="22"/>
          <w:szCs w:val="22"/>
          <w:lang w:val="es-ES"/>
        </w:rPr>
        <w:t xml:space="preserve">: Sólido M0 </w:t>
      </w:r>
      <w:r w:rsidR="005A7F33">
        <w:rPr>
          <w:b w:val="0"/>
          <w:color w:val="auto"/>
          <w:sz w:val="22"/>
          <w:szCs w:val="22"/>
          <w:lang w:val="es-ES"/>
        </w:rPr>
        <w:t xml:space="preserve">(MCM-41 </w:t>
      </w:r>
      <w:r w:rsidR="00B84AB5" w:rsidRPr="0092789C">
        <w:rPr>
          <w:b w:val="0"/>
          <w:color w:val="auto"/>
          <w:sz w:val="22"/>
          <w:szCs w:val="22"/>
          <w:lang w:val="es-ES"/>
        </w:rPr>
        <w:t>después de la calcinación</w:t>
      </w:r>
      <w:r w:rsidR="005A7F33">
        <w:rPr>
          <w:b w:val="0"/>
          <w:color w:val="auto"/>
          <w:sz w:val="22"/>
          <w:szCs w:val="22"/>
          <w:lang w:val="es-ES"/>
        </w:rPr>
        <w:t>)</w:t>
      </w:r>
      <w:r w:rsidR="00B84AB5" w:rsidRPr="0092789C">
        <w:rPr>
          <w:b w:val="0"/>
          <w:color w:val="auto"/>
          <w:sz w:val="22"/>
          <w:szCs w:val="22"/>
          <w:lang w:val="es-ES"/>
        </w:rPr>
        <w:t xml:space="preserve"> </w:t>
      </w:r>
      <w:r w:rsidR="00B84AB5" w:rsidRPr="0092789C">
        <w:rPr>
          <w:color w:val="auto"/>
          <w:sz w:val="22"/>
          <w:szCs w:val="22"/>
          <w:lang w:val="es-ES"/>
        </w:rPr>
        <w:t>a3.</w:t>
      </w:r>
      <w:r w:rsidR="00B84AB5" w:rsidRPr="0092789C">
        <w:rPr>
          <w:b w:val="0"/>
          <w:color w:val="auto"/>
          <w:sz w:val="22"/>
          <w:szCs w:val="22"/>
          <w:lang w:val="es-ES"/>
        </w:rPr>
        <w:t xml:space="preserve"> Sólido M</w:t>
      </w:r>
      <w:r w:rsidR="005A7F33">
        <w:rPr>
          <w:b w:val="0"/>
          <w:color w:val="auto"/>
          <w:sz w:val="22"/>
          <w:szCs w:val="22"/>
          <w:lang w:val="es-ES"/>
        </w:rPr>
        <w:t>,</w:t>
      </w:r>
      <w:r w:rsidR="00B84AB5" w:rsidRPr="0092789C">
        <w:rPr>
          <w:b w:val="0"/>
          <w:color w:val="auto"/>
          <w:sz w:val="22"/>
          <w:szCs w:val="22"/>
          <w:lang w:val="es-ES"/>
        </w:rPr>
        <w:t xml:space="preserve"> </w:t>
      </w:r>
      <w:r w:rsidR="005A7F33">
        <w:rPr>
          <w:b w:val="0"/>
          <w:color w:val="auto"/>
          <w:sz w:val="22"/>
          <w:szCs w:val="22"/>
          <w:lang w:val="es-ES"/>
        </w:rPr>
        <w:t xml:space="preserve">M0 </w:t>
      </w:r>
      <w:r w:rsidR="00B84AB5" w:rsidRPr="0092789C">
        <w:rPr>
          <w:b w:val="0"/>
          <w:color w:val="auto"/>
          <w:sz w:val="22"/>
          <w:szCs w:val="22"/>
          <w:lang w:val="es-ES"/>
        </w:rPr>
        <w:t xml:space="preserve">cargado con DADS.     </w:t>
      </w:r>
    </w:p>
    <w:p w:rsidR="00577632" w:rsidRDefault="00577632" w:rsidP="00234195">
      <w:pPr>
        <w:spacing w:after="0" w:line="240" w:lineRule="auto"/>
        <w:rPr>
          <w:lang w:val="es-ES" w:eastAsia="es-ES"/>
        </w:rPr>
      </w:pPr>
    </w:p>
    <w:p w:rsidR="003D1BEB" w:rsidRPr="00630C87" w:rsidRDefault="00595565" w:rsidP="00234195">
      <w:pPr>
        <w:spacing w:after="0" w:line="240" w:lineRule="auto"/>
        <w:rPr>
          <w:lang w:val="es-ES" w:eastAsia="es-ES"/>
        </w:rPr>
      </w:pPr>
      <w:r>
        <w:rPr>
          <w:lang w:val="es-ES" w:eastAsia="es-ES"/>
        </w:rPr>
        <w:t>El</w:t>
      </w:r>
      <w:r w:rsidR="003D1BEB">
        <w:rPr>
          <w:lang w:val="es-ES" w:eastAsia="es-ES"/>
        </w:rPr>
        <w:t xml:space="preserve"> patrón </w:t>
      </w:r>
      <w:r w:rsidR="0092789C">
        <w:rPr>
          <w:lang w:val="es-ES" w:eastAsia="es-ES"/>
        </w:rPr>
        <w:t xml:space="preserve">de XRD </w:t>
      </w:r>
      <w:r w:rsidR="003D1BEB">
        <w:rPr>
          <w:lang w:val="es-ES" w:eastAsia="es-ES"/>
        </w:rPr>
        <w:t xml:space="preserve">del sólido SBA-15 no se muestra, </w:t>
      </w:r>
      <w:r>
        <w:rPr>
          <w:lang w:val="es-ES" w:eastAsia="es-ES"/>
        </w:rPr>
        <w:t xml:space="preserve">sin embargo </w:t>
      </w:r>
      <w:r w:rsidR="003D1BEB">
        <w:rPr>
          <w:lang w:val="es-ES" w:eastAsia="es-ES"/>
        </w:rPr>
        <w:t xml:space="preserve">podemos decir que presenta el mismo comportamiento, donde se confirma la estructura hexagonal y porosa del sólido después de la calcinación y después del proceso de encapsulado. </w:t>
      </w:r>
    </w:p>
    <w:p w:rsidR="00914767" w:rsidRDefault="008938A4" w:rsidP="00234195">
      <w:pPr>
        <w:spacing w:after="0" w:line="240" w:lineRule="auto"/>
        <w:rPr>
          <w:lang w:val="es-ES"/>
        </w:rPr>
      </w:pPr>
      <w:r>
        <w:rPr>
          <w:lang w:val="es-ES"/>
        </w:rPr>
        <w:t>Adicion</w:t>
      </w:r>
      <w:r w:rsidR="00595565">
        <w:rPr>
          <w:lang w:val="es-ES"/>
        </w:rPr>
        <w:t>al</w:t>
      </w:r>
      <w:r w:rsidR="003243DE">
        <w:rPr>
          <w:lang w:val="es-ES"/>
        </w:rPr>
        <w:t>mente</w:t>
      </w:r>
      <w:r w:rsidR="00595565">
        <w:rPr>
          <w:lang w:val="es-ES"/>
        </w:rPr>
        <w:t xml:space="preserve"> al estudio de patrones por </w:t>
      </w:r>
      <w:r>
        <w:rPr>
          <w:lang w:val="es-ES"/>
        </w:rPr>
        <w:t>X</w:t>
      </w:r>
      <w:r w:rsidR="00595565">
        <w:rPr>
          <w:lang w:val="es-ES"/>
        </w:rPr>
        <w:t>RD</w:t>
      </w:r>
      <w:r>
        <w:rPr>
          <w:lang w:val="es-ES"/>
        </w:rPr>
        <w:t>, la estructura porosa de los sólidos se confirmó a través de microscopía electrónica de transmisión (TEM). Esta técnica no diferencia entre sólidos con y sin carga, pero un acercamiento a los bordes de las partículas permite ver claramente los poros</w:t>
      </w:r>
      <w:r w:rsidR="003D1BEB">
        <w:rPr>
          <w:lang w:val="es-ES"/>
        </w:rPr>
        <w:t xml:space="preserve"> tal y como indica la Figura 3.</w:t>
      </w:r>
    </w:p>
    <w:p w:rsidR="005A6063" w:rsidRDefault="005A6063" w:rsidP="005A6063">
      <w:pPr>
        <w:spacing w:after="0" w:line="240" w:lineRule="auto"/>
        <w:rPr>
          <w:lang w:val="es-ES"/>
        </w:rPr>
      </w:pPr>
      <w:r>
        <w:rPr>
          <w:lang w:val="es-ES"/>
        </w:rPr>
        <w:t>En términos generales la estructura porosa de los sólidos MCM-41 y SBA-15 es similar, la diferencia radica principalmente en la conformación de las partículas; mientras que en el caso del sólido M0 (Figura 3a), se tiene formas irregulares, en el caso del sólido S0, la tendencia es a presentar partículas de forma acicular.</w:t>
      </w:r>
    </w:p>
    <w:p w:rsidR="00577632" w:rsidRDefault="00577632" w:rsidP="00234195">
      <w:pPr>
        <w:spacing w:after="0" w:line="240" w:lineRule="auto"/>
        <w:rPr>
          <w:lang w:val="es-ES"/>
        </w:rPr>
      </w:pPr>
    </w:p>
    <w:p w:rsidR="00595565" w:rsidRPr="00595565" w:rsidRDefault="004851B4" w:rsidP="00234195">
      <w:pPr>
        <w:spacing w:after="0" w:line="240" w:lineRule="auto"/>
        <w:jc w:val="center"/>
        <w:rPr>
          <w:lang w:val="es-ES"/>
        </w:rPr>
      </w:pPr>
      <w:r>
        <w:rPr>
          <w:noProof/>
          <w:lang w:val="en-US"/>
        </w:rPr>
        <w:lastRenderedPageBreak/>
        <mc:AlternateContent>
          <mc:Choice Requires="wpg">
            <w:drawing>
              <wp:anchor distT="0" distB="0" distL="114300" distR="114300" simplePos="0" relativeHeight="251665408" behindDoc="0" locked="0" layoutInCell="1" allowOverlap="1" wp14:anchorId="2B81BFC0" wp14:editId="2BA5FCD2">
                <wp:simplePos x="0" y="0"/>
                <wp:positionH relativeFrom="column">
                  <wp:posOffset>1882775</wp:posOffset>
                </wp:positionH>
                <wp:positionV relativeFrom="paragraph">
                  <wp:posOffset>385445</wp:posOffset>
                </wp:positionV>
                <wp:extent cx="1209675" cy="1371600"/>
                <wp:effectExtent l="9525" t="8255" r="9525" b="10795"/>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1371600"/>
                          <a:chOff x="4950" y="2308"/>
                          <a:chExt cx="1905" cy="2160"/>
                        </a:xfrm>
                      </wpg:grpSpPr>
                      <wps:wsp>
                        <wps:cNvPr id="4" name="Oval 7"/>
                        <wps:cNvSpPr>
                          <a:spLocks noChangeArrowheads="1"/>
                        </wps:cNvSpPr>
                        <wps:spPr bwMode="auto">
                          <a:xfrm>
                            <a:off x="4950" y="2773"/>
                            <a:ext cx="735" cy="94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CnPr>
                          <a:cxnSpLocks noChangeShapeType="1"/>
                        </wps:cNvCnPr>
                        <wps:spPr bwMode="auto">
                          <a:xfrm flipV="1">
                            <a:off x="5280" y="2308"/>
                            <a:ext cx="1575" cy="46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1" name="AutoShape 9"/>
                        <wps:cNvCnPr>
                          <a:cxnSpLocks noChangeShapeType="1"/>
                        </wps:cNvCnPr>
                        <wps:spPr bwMode="auto">
                          <a:xfrm>
                            <a:off x="5280" y="3718"/>
                            <a:ext cx="1575" cy="7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4BB12" id="Group 12" o:spid="_x0000_s1026" style="position:absolute;margin-left:148.25pt;margin-top:30.35pt;width:95.25pt;height:108pt;z-index:251665408" coordorigin="4950,2308" coordsize="190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">
                <v:oval id="Oval 7" o:spid="_x0000_s1027" style="position:absolute;left:4950;top:2773;width:73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5SsMA&#10;AADaAAAADwAAAGRycy9kb3ducmV2LnhtbESPW2vCQBSE3wv+h+UIfdONRUqJ2YRWKCgFwQvo42n2&#10;NNc9G7Krxv56tyD0cZiZb5gkG0wrLtS7yrKC2TQCQZxbXXGh4LD/nLyBcB5ZY2uZFNzIQZaOnhKM&#10;tb3yli47X4gAYRejgtL7LpbS5SUZdFPbEQfvx/YGfZB9IXWP1wA3rXyJoldpsOKwUGJHy5LyZnc2&#10;Cr5lret63fjiJI8fHX5t9O13o9TzeHhfgPA0+P/wo73SCubwdyXcA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05SsMAAADaAAAADwAAAAAAAAAAAAAAAACYAgAAZHJzL2Rv&#10;d25yZXYueG1sUEsFBgAAAAAEAAQA9QAAAIgDAAAAAA==&#10;" filled="f" strokecolor="#c00000"/>
                <v:shapetype id="_x0000_t32" coordsize="21600,21600" o:spt="32" o:oned="t" path="m,l21600,21600e" filled="f">
                  <v:path arrowok="t" fillok="f" o:connecttype="none"/>
                  <o:lock v:ext="edit" shapetype="t"/>
                </v:shapetype>
                <v:shape id="AutoShape 8" o:spid="_x0000_s1028" type="#_x0000_t32" style="position:absolute;left:5280;top:2308;width:1575;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NHcUAAADbAAAADwAAAGRycy9kb3ducmV2LnhtbESPQWvCQBCF74L/YRmhF9GNrYqkriJC&#10;wZ6KsSXXITtN0mZnQ3Zrkn/fORR6m+G9ee+b/XFwjbpTF2rPBlbLBBRx4W3NpYH328tiBypEZIuN&#10;ZzIwUoDjYTrZY2p9z1e6Z7FUEsIhRQNVjG2qdSgqchiWviUW7dN3DqOsXalth72Eu0Y/JslWO6xZ&#10;Gips6VxR8Z39OAOvY5737VO+vrzthoQ/5v1m/DoZ8zAbTs+gIg3x3/x3fbGCL/T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rNHcUAAADbAAAADwAAAAAAAAAA&#10;AAAAAAChAgAAZHJzL2Rvd25yZXYueG1sUEsFBgAAAAAEAAQA+QAAAJMDAAAAAA==&#10;" strokecolor="#c00000"/>
                <v:shape id="AutoShape 9" o:spid="_x0000_s1029" type="#_x0000_t32" style="position:absolute;left:5280;top:3718;width:1575;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xj6MIAAADbAAAADwAAAGRycy9kb3ducmV2LnhtbERPzWoCMRC+F3yHMIKXUrMW6ZbVKFqo&#10;SvFS6wMMm+lm62ayJKm7+vSmUPA2H9/vzJe9bcSZfKgdK5iMMxDEpdM1VwqOX+9PryBCRNbYOCYF&#10;FwqwXAwe5lho1/EnnQ+xEimEQ4EKTIxtIWUoDVkMY9cSJ+7beYsxQV9J7bFL4baRz1n2Ii3WnBoM&#10;tvRmqDwdfq2C8mfd7PfbTX41U/9RZ12Oq8dcqdGwX81AROrjXfzv3uk0fwJ/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xj6MIAAADbAAAADwAAAAAAAAAAAAAA&#10;AAChAgAAZHJzL2Rvd25yZXYueG1sUEsFBgAAAAAEAAQA+QAAAJADAAAAAA==&#10;" strokecolor="#c00000"/>
              </v:group>
            </w:pict>
          </mc:Fallback>
        </mc:AlternateContent>
      </w:r>
      <w:r>
        <w:rPr>
          <w:noProof/>
          <w:lang w:val="en-US"/>
        </w:rPr>
        <mc:AlternateContent>
          <mc:Choice Requires="wps">
            <w:drawing>
              <wp:anchor distT="0" distB="0" distL="114300" distR="114300" simplePos="0" relativeHeight="251667456" behindDoc="0" locked="0" layoutInCell="1" allowOverlap="1" wp14:anchorId="19E0D67D" wp14:editId="619136DA">
                <wp:simplePos x="0" y="0"/>
                <wp:positionH relativeFrom="column">
                  <wp:posOffset>568325</wp:posOffset>
                </wp:positionH>
                <wp:positionV relativeFrom="paragraph">
                  <wp:posOffset>5715</wp:posOffset>
                </wp:positionV>
                <wp:extent cx="352425" cy="2286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0F5" w:rsidRPr="006C0B71" w:rsidRDefault="00BA60F5" w:rsidP="00054B2A">
                            <w:pPr>
                              <w:ind w:firstLine="0"/>
                              <w:jc w:val="left"/>
                              <w:rPr>
                                <w:rFonts w:cs="Arial"/>
                                <w:b/>
                                <w:lang w:val="es-ES"/>
                              </w:rPr>
                            </w:pPr>
                            <w:r>
                              <w:rPr>
                                <w:rFonts w:cs="Arial"/>
                                <w:b/>
                                <w:lang w:val="es-ES"/>
                              </w:rPr>
                              <w:t>a</w:t>
                            </w:r>
                            <w:r w:rsidRPr="006C0B71">
                              <w:rPr>
                                <w:rFonts w:cs="Arial"/>
                                <w:b/>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0D67D" id="Text Box 10" o:spid="_x0000_s1029" type="#_x0000_t202" style="position:absolute;left:0;text-align:left;margin-left:44.75pt;margin-top:.45pt;width:27.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" filled="f" stroked="f">
                <v:textbox>
                  <w:txbxContent>
                    <w:p w:rsidR="00BA60F5" w:rsidRPr="006C0B71" w:rsidRDefault="00BA60F5" w:rsidP="00054B2A">
                      <w:pPr>
                        <w:ind w:firstLine="0"/>
                        <w:jc w:val="left"/>
                        <w:rPr>
                          <w:rFonts w:cs="Arial"/>
                          <w:b/>
                          <w:lang w:val="es-ES"/>
                        </w:rPr>
                      </w:pPr>
                      <w:r>
                        <w:rPr>
                          <w:rFonts w:cs="Arial"/>
                          <w:b/>
                          <w:lang w:val="es-ES"/>
                        </w:rPr>
                        <w:t>a</w:t>
                      </w:r>
                      <w:r w:rsidRPr="006C0B71">
                        <w:rPr>
                          <w:rFonts w:cs="Arial"/>
                          <w:b/>
                          <w:lang w:val="es-ES"/>
                        </w:rPr>
                        <w:t>.</w:t>
                      </w:r>
                    </w:p>
                  </w:txbxContent>
                </v:textbox>
              </v:shape>
            </w:pict>
          </mc:Fallback>
        </mc:AlternateContent>
      </w:r>
      <w:r w:rsidR="00914767" w:rsidRPr="00914767">
        <w:rPr>
          <w:noProof/>
          <w:lang w:val="en-US"/>
        </w:rPr>
        <w:drawing>
          <wp:inline distT="0" distB="0" distL="0" distR="0" wp14:anchorId="1AF220F0" wp14:editId="55E66590">
            <wp:extent cx="1789233" cy="1809750"/>
            <wp:effectExtent l="0" t="0" r="0" b="0"/>
            <wp:docPr id="3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srcRect b="3553"/>
                    <a:stretch/>
                  </pic:blipFill>
                  <pic:spPr bwMode="auto">
                    <a:xfrm>
                      <a:off x="0" y="0"/>
                      <a:ext cx="1797454" cy="1818066"/>
                    </a:xfrm>
                    <a:prstGeom prst="rect">
                      <a:avLst/>
                    </a:prstGeom>
                    <a:noFill/>
                    <a:ln>
                      <a:noFill/>
                    </a:ln>
                    <a:extLst>
                      <a:ext uri="{53640926-AAD7-44D8-BBD7-CCE9431645EC}">
                        <a14:shadowObscured xmlns:a14="http://schemas.microsoft.com/office/drawing/2010/main"/>
                      </a:ext>
                    </a:extLst>
                  </pic:spPr>
                </pic:pic>
              </a:graphicData>
            </a:graphic>
          </wp:inline>
        </w:drawing>
      </w:r>
      <w:r w:rsidR="008938A4">
        <w:rPr>
          <w:lang w:val="es-ES"/>
        </w:rPr>
        <w:t xml:space="preserve">. </w:t>
      </w:r>
      <w:r w:rsidR="00595565">
        <w:rPr>
          <w:lang w:val="es-ES"/>
        </w:rPr>
        <w:t xml:space="preserve">                </w:t>
      </w:r>
      <w:r w:rsidR="008938A4" w:rsidRPr="008938A4">
        <w:rPr>
          <w:noProof/>
          <w:lang w:val="en-US"/>
        </w:rPr>
        <w:drawing>
          <wp:inline distT="0" distB="0" distL="0" distR="0" wp14:anchorId="02D31F01" wp14:editId="78592D18">
            <wp:extent cx="1774378" cy="1438275"/>
            <wp:effectExtent l="0" t="0" r="0" b="0"/>
            <wp:docPr id="3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srcRect t="20942"/>
                    <a:stretch/>
                  </pic:blipFill>
                  <pic:spPr bwMode="auto">
                    <a:xfrm>
                      <a:off x="0" y="0"/>
                      <a:ext cx="1774378" cy="1438275"/>
                    </a:xfrm>
                    <a:prstGeom prst="rect">
                      <a:avLst/>
                    </a:prstGeom>
                    <a:noFill/>
                    <a:ln>
                      <a:noFill/>
                    </a:ln>
                    <a:extLst>
                      <a:ext uri="{53640926-AAD7-44D8-BBD7-CCE9431645EC}">
                        <a14:shadowObscured xmlns:a14="http://schemas.microsoft.com/office/drawing/2010/main"/>
                      </a:ext>
                    </a:extLst>
                  </pic:spPr>
                </pic:pic>
              </a:graphicData>
            </a:graphic>
          </wp:inline>
        </w:drawing>
      </w:r>
    </w:p>
    <w:p w:rsidR="00595565" w:rsidRPr="004E05D6" w:rsidRDefault="004851B4" w:rsidP="00234195">
      <w:pPr>
        <w:spacing w:after="0" w:line="240" w:lineRule="auto"/>
        <w:jc w:val="center"/>
        <w:rPr>
          <w:lang w:val="es-ES"/>
        </w:rPr>
      </w:pPr>
      <w:r>
        <w:rPr>
          <w:noProof/>
          <w:lang w:val="en-US"/>
        </w:rPr>
        <mc:AlternateContent>
          <mc:Choice Requires="wps">
            <w:drawing>
              <wp:anchor distT="0" distB="0" distL="114300" distR="114300" simplePos="0" relativeHeight="251668480" behindDoc="0" locked="0" layoutInCell="1" allowOverlap="1" wp14:anchorId="1023F9B8" wp14:editId="4F2FC5F5">
                <wp:simplePos x="0" y="0"/>
                <wp:positionH relativeFrom="column">
                  <wp:posOffset>920750</wp:posOffset>
                </wp:positionH>
                <wp:positionV relativeFrom="paragraph">
                  <wp:posOffset>20955</wp:posOffset>
                </wp:positionV>
                <wp:extent cx="352425" cy="2286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0F5" w:rsidRPr="006C0B71" w:rsidRDefault="00BA60F5" w:rsidP="00054B2A">
                            <w:pPr>
                              <w:ind w:firstLine="0"/>
                              <w:rPr>
                                <w:rFonts w:cs="Arial"/>
                                <w:b/>
                                <w:lang w:val="es-ES"/>
                              </w:rPr>
                            </w:pPr>
                            <w:r>
                              <w:rPr>
                                <w:rFonts w:cs="Arial"/>
                                <w:b/>
                                <w:lang w:val="es-ES"/>
                              </w:rPr>
                              <w:t>b</w:t>
                            </w:r>
                            <w:r w:rsidRPr="006C0B71">
                              <w:rPr>
                                <w:rFonts w:cs="Arial"/>
                                <w:b/>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3F9B8" id="Text Box 11" o:spid="_x0000_s1030" type="#_x0000_t202" style="position:absolute;left:0;text-align:left;margin-left:72.5pt;margin-top:1.65pt;width:27.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66uQIAAMA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" filled="f" stroked="f">
                <v:textbox>
                  <w:txbxContent>
                    <w:p w:rsidR="00BA60F5" w:rsidRPr="006C0B71" w:rsidRDefault="00BA60F5" w:rsidP="00054B2A">
                      <w:pPr>
                        <w:ind w:firstLine="0"/>
                        <w:rPr>
                          <w:rFonts w:cs="Arial"/>
                          <w:b/>
                          <w:lang w:val="es-ES"/>
                        </w:rPr>
                      </w:pPr>
                      <w:r>
                        <w:rPr>
                          <w:rFonts w:cs="Arial"/>
                          <w:b/>
                          <w:lang w:val="es-ES"/>
                        </w:rPr>
                        <w:t>b</w:t>
                      </w:r>
                      <w:r w:rsidRPr="006C0B71">
                        <w:rPr>
                          <w:rFonts w:cs="Arial"/>
                          <w:b/>
                          <w:lang w:val="es-ES"/>
                        </w:rPr>
                        <w:t>.</w:t>
                      </w:r>
                    </w:p>
                  </w:txbxContent>
                </v:textbox>
              </v:shape>
            </w:pict>
          </mc:Fallback>
        </mc:AlternateContent>
      </w:r>
      <w:r w:rsidR="00595565" w:rsidRPr="00595565">
        <w:rPr>
          <w:noProof/>
          <w:lang w:val="en-US"/>
        </w:rPr>
        <w:drawing>
          <wp:inline distT="0" distB="0" distL="0" distR="0" wp14:anchorId="76CA3818" wp14:editId="46D6E6BB">
            <wp:extent cx="3638550" cy="17022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8550" cy="1702245"/>
                    </a:xfrm>
                    <a:prstGeom prst="rect">
                      <a:avLst/>
                    </a:prstGeom>
                    <a:noFill/>
                    <a:ln>
                      <a:noFill/>
                    </a:ln>
                  </pic:spPr>
                </pic:pic>
              </a:graphicData>
            </a:graphic>
          </wp:inline>
        </w:drawing>
      </w:r>
    </w:p>
    <w:p w:rsidR="008938A4" w:rsidRPr="00D158D2" w:rsidRDefault="008938A4" w:rsidP="00234195">
      <w:pPr>
        <w:pStyle w:val="Caption"/>
        <w:spacing w:after="0"/>
        <w:jc w:val="center"/>
        <w:rPr>
          <w:b w:val="0"/>
          <w:color w:val="auto"/>
          <w:sz w:val="22"/>
          <w:szCs w:val="22"/>
          <w:lang w:val="es-ES"/>
        </w:rPr>
      </w:pPr>
      <w:r w:rsidRPr="00D158D2">
        <w:rPr>
          <w:color w:val="auto"/>
          <w:sz w:val="22"/>
          <w:szCs w:val="22"/>
          <w:lang w:val="es-ES"/>
        </w:rPr>
        <w:t xml:space="preserve">Figura </w:t>
      </w:r>
      <w:r w:rsidR="003D1BEB" w:rsidRPr="00D158D2">
        <w:rPr>
          <w:color w:val="auto"/>
          <w:sz w:val="22"/>
          <w:szCs w:val="22"/>
          <w:lang w:val="es-ES"/>
        </w:rPr>
        <w:fldChar w:fldCharType="begin"/>
      </w:r>
      <w:r w:rsidR="003D1BEB" w:rsidRPr="00D158D2">
        <w:rPr>
          <w:color w:val="auto"/>
          <w:sz w:val="22"/>
          <w:szCs w:val="22"/>
          <w:lang w:val="es-ES"/>
        </w:rPr>
        <w:instrText xml:space="preserve"> SEQ Figura \* ARABIC </w:instrText>
      </w:r>
      <w:r w:rsidR="003D1BEB" w:rsidRPr="00D158D2">
        <w:rPr>
          <w:color w:val="auto"/>
          <w:sz w:val="22"/>
          <w:szCs w:val="22"/>
          <w:lang w:val="es-ES"/>
        </w:rPr>
        <w:fldChar w:fldCharType="separate"/>
      </w:r>
      <w:r w:rsidR="00C206C9">
        <w:rPr>
          <w:noProof/>
          <w:color w:val="auto"/>
          <w:sz w:val="22"/>
          <w:szCs w:val="22"/>
          <w:lang w:val="es-ES"/>
        </w:rPr>
        <w:t>3</w:t>
      </w:r>
      <w:r w:rsidR="003D1BEB" w:rsidRPr="00D158D2">
        <w:rPr>
          <w:color w:val="auto"/>
          <w:sz w:val="22"/>
          <w:szCs w:val="22"/>
          <w:lang w:val="es-ES"/>
        </w:rPr>
        <w:fldChar w:fldCharType="end"/>
      </w:r>
      <w:r w:rsidRPr="00D158D2">
        <w:rPr>
          <w:color w:val="auto"/>
          <w:sz w:val="22"/>
          <w:szCs w:val="22"/>
          <w:lang w:val="es-ES"/>
        </w:rPr>
        <w:t xml:space="preserve">. </w:t>
      </w:r>
      <w:r w:rsidRPr="00D158D2">
        <w:rPr>
          <w:b w:val="0"/>
          <w:color w:val="auto"/>
          <w:sz w:val="22"/>
          <w:szCs w:val="22"/>
          <w:lang w:val="es-ES"/>
        </w:rPr>
        <w:t>Imagen obtenida por TEM de los sólidos sintetizados</w:t>
      </w:r>
      <w:r w:rsidR="008E4461" w:rsidRPr="00D158D2">
        <w:rPr>
          <w:b w:val="0"/>
          <w:color w:val="auto"/>
          <w:sz w:val="22"/>
          <w:szCs w:val="22"/>
          <w:lang w:val="es-ES"/>
        </w:rPr>
        <w:t>.</w:t>
      </w:r>
      <w:r w:rsidR="00B570ED" w:rsidRPr="00D158D2">
        <w:rPr>
          <w:b w:val="0"/>
          <w:color w:val="auto"/>
          <w:sz w:val="22"/>
          <w:szCs w:val="22"/>
          <w:lang w:val="es-ES"/>
        </w:rPr>
        <w:t xml:space="preserve"> </w:t>
      </w:r>
      <w:r w:rsidR="00595565">
        <w:rPr>
          <w:b w:val="0"/>
          <w:color w:val="auto"/>
          <w:sz w:val="22"/>
          <w:szCs w:val="22"/>
          <w:lang w:val="es-ES"/>
        </w:rPr>
        <w:br/>
      </w:r>
      <w:r w:rsidR="00B570ED" w:rsidRPr="00D158D2">
        <w:rPr>
          <w:color w:val="auto"/>
          <w:sz w:val="22"/>
          <w:szCs w:val="22"/>
          <w:lang w:val="es-ES"/>
        </w:rPr>
        <w:t>a.</w:t>
      </w:r>
      <w:r w:rsidR="00B570ED" w:rsidRPr="00D158D2">
        <w:rPr>
          <w:b w:val="0"/>
          <w:color w:val="auto"/>
          <w:sz w:val="22"/>
          <w:szCs w:val="22"/>
          <w:lang w:val="es-ES"/>
        </w:rPr>
        <w:t xml:space="preserve"> M0  </w:t>
      </w:r>
      <w:r w:rsidR="00B570ED" w:rsidRPr="00054B2A">
        <w:rPr>
          <w:color w:val="auto"/>
          <w:sz w:val="22"/>
          <w:szCs w:val="22"/>
          <w:lang w:val="es-ES"/>
        </w:rPr>
        <w:t>b.</w:t>
      </w:r>
      <w:r w:rsidR="00B570ED" w:rsidRPr="00054B2A">
        <w:rPr>
          <w:b w:val="0"/>
          <w:color w:val="auto"/>
          <w:sz w:val="22"/>
          <w:szCs w:val="22"/>
          <w:lang w:val="es-ES"/>
        </w:rPr>
        <w:t xml:space="preserve"> S0</w:t>
      </w:r>
      <w:r w:rsidR="00B570ED" w:rsidRPr="00D158D2">
        <w:rPr>
          <w:b w:val="0"/>
          <w:color w:val="auto"/>
          <w:sz w:val="22"/>
          <w:szCs w:val="22"/>
          <w:lang w:val="es-ES"/>
        </w:rPr>
        <w:t xml:space="preserve"> </w:t>
      </w:r>
    </w:p>
    <w:p w:rsidR="00577632" w:rsidRDefault="00577632" w:rsidP="00234195">
      <w:pPr>
        <w:spacing w:after="0" w:line="240" w:lineRule="auto"/>
        <w:rPr>
          <w:lang w:val="es-ES"/>
        </w:rPr>
      </w:pPr>
    </w:p>
    <w:p w:rsidR="00577632" w:rsidRDefault="00DA7D96" w:rsidP="005A6063">
      <w:pPr>
        <w:pStyle w:val="Heading3"/>
      </w:pPr>
      <w:bookmarkStart w:id="55" w:name="_Toc429397067"/>
      <w:r>
        <w:t xml:space="preserve">Evaluación del </w:t>
      </w:r>
      <w:r w:rsidRPr="005A6063">
        <w:t>material</w:t>
      </w:r>
      <w:r>
        <w:t xml:space="preserve"> encapsulado</w:t>
      </w:r>
      <w:bookmarkEnd w:id="55"/>
    </w:p>
    <w:p w:rsidR="00352FC2" w:rsidRDefault="00352FC2" w:rsidP="00234195">
      <w:pPr>
        <w:spacing w:after="0" w:line="240" w:lineRule="auto"/>
        <w:rPr>
          <w:lang w:val="es-ES"/>
        </w:rPr>
      </w:pPr>
      <w:r>
        <w:rPr>
          <w:lang w:val="es-ES"/>
        </w:rPr>
        <w:t>Finalmente para confirmar que se ha cargado el compuesto de interés en el sólido, se hizo un estudio termogravimétrico (TGA), donde a medida que se incrementa la temperatura se degrada el material presente en la muestra. En este caso</w:t>
      </w:r>
      <w:r w:rsidR="00525F45">
        <w:rPr>
          <w:lang w:val="es-ES"/>
        </w:rPr>
        <w:t>,</w:t>
      </w:r>
      <w:r>
        <w:rPr>
          <w:lang w:val="es-ES"/>
        </w:rPr>
        <w:t xml:space="preserve"> se identific</w:t>
      </w:r>
      <w:r w:rsidR="0092789C">
        <w:rPr>
          <w:lang w:val="es-ES"/>
        </w:rPr>
        <w:t>ó</w:t>
      </w:r>
      <w:r>
        <w:rPr>
          <w:lang w:val="es-ES"/>
        </w:rPr>
        <w:t xml:space="preserve"> en la primera etapa la degradación de todo el material orgánico y</w:t>
      </w:r>
      <w:r w:rsidR="001266DE">
        <w:rPr>
          <w:lang w:val="es-ES"/>
        </w:rPr>
        <w:t>,</w:t>
      </w:r>
      <w:r>
        <w:rPr>
          <w:lang w:val="es-ES"/>
        </w:rPr>
        <w:t xml:space="preserve"> al final</w:t>
      </w:r>
      <w:r w:rsidR="00356744">
        <w:rPr>
          <w:lang w:val="es-ES"/>
        </w:rPr>
        <w:t>,</w:t>
      </w:r>
      <w:r>
        <w:rPr>
          <w:lang w:val="es-ES"/>
        </w:rPr>
        <w:t xml:space="preserve">  el óxido de </w:t>
      </w:r>
      <w:r w:rsidR="00EB3730">
        <w:rPr>
          <w:lang w:val="es-ES"/>
        </w:rPr>
        <w:t>silicio</w:t>
      </w:r>
      <w:r>
        <w:rPr>
          <w:lang w:val="es-ES"/>
        </w:rPr>
        <w:t xml:space="preserve"> que compone el sólido que cuenta como residuo. De modo que </w:t>
      </w:r>
      <w:r w:rsidR="0092789C">
        <w:rPr>
          <w:lang w:val="es-ES"/>
        </w:rPr>
        <w:t>fue</w:t>
      </w:r>
      <w:r>
        <w:rPr>
          <w:lang w:val="es-ES"/>
        </w:rPr>
        <w:t xml:space="preserve"> posible identificar la relación de masa </w:t>
      </w:r>
      <w:r w:rsidR="0092789C">
        <w:rPr>
          <w:lang w:val="es-ES"/>
        </w:rPr>
        <w:t xml:space="preserve">de </w:t>
      </w:r>
      <w:r>
        <w:rPr>
          <w:lang w:val="es-ES"/>
        </w:rPr>
        <w:t xml:space="preserve">materia orgánica por masa de </w:t>
      </w:r>
      <w:r w:rsidR="000D6876">
        <w:rPr>
          <w:lang w:val="es-ES"/>
        </w:rPr>
        <w:t>ó</w:t>
      </w:r>
      <w:r>
        <w:rPr>
          <w:lang w:val="es-ES"/>
        </w:rPr>
        <w:t xml:space="preserve">xido de </w:t>
      </w:r>
      <w:r w:rsidR="00EB3730">
        <w:rPr>
          <w:lang w:val="es-ES"/>
        </w:rPr>
        <w:t>silicio</w:t>
      </w:r>
      <w:r>
        <w:rPr>
          <w:lang w:val="es-ES"/>
        </w:rPr>
        <w:t xml:space="preserve"> (</w:t>
      </w:r>
      <w:r w:rsidR="005A7325">
        <w:rPr>
          <w:lang w:val="es-ES"/>
        </w:rPr>
        <w:t>por masa de sólido). La Tabla 2</w:t>
      </w:r>
      <w:r>
        <w:rPr>
          <w:lang w:val="es-ES"/>
        </w:rPr>
        <w:t xml:space="preserve"> muestra estos valores.</w:t>
      </w:r>
    </w:p>
    <w:p w:rsidR="0058456F" w:rsidRDefault="0058456F" w:rsidP="00234195">
      <w:pPr>
        <w:spacing w:after="0" w:line="240" w:lineRule="auto"/>
        <w:rPr>
          <w:lang w:val="es-ES"/>
        </w:rPr>
      </w:pPr>
    </w:p>
    <w:p w:rsidR="004C45F3" w:rsidRDefault="004C45F3" w:rsidP="00234195">
      <w:pPr>
        <w:spacing w:after="0" w:line="240" w:lineRule="auto"/>
        <w:rPr>
          <w:lang w:val="es-ES"/>
        </w:rPr>
      </w:pPr>
    </w:p>
    <w:p w:rsidR="003D1BEB" w:rsidRPr="00FC7386" w:rsidRDefault="003D1BEB" w:rsidP="00234195">
      <w:pPr>
        <w:pStyle w:val="Caption"/>
        <w:keepNext/>
        <w:spacing w:after="0"/>
        <w:rPr>
          <w:b w:val="0"/>
          <w:color w:val="auto"/>
          <w:sz w:val="22"/>
          <w:szCs w:val="22"/>
          <w:lang w:val="es-ES"/>
        </w:rPr>
      </w:pPr>
      <w:r w:rsidRPr="00FC7386">
        <w:rPr>
          <w:color w:val="auto"/>
          <w:sz w:val="22"/>
          <w:szCs w:val="22"/>
          <w:lang w:val="es-ES"/>
        </w:rPr>
        <w:t xml:space="preserve">Tabla </w:t>
      </w:r>
      <w:r w:rsidRPr="00FC7386">
        <w:rPr>
          <w:color w:val="auto"/>
          <w:sz w:val="22"/>
          <w:szCs w:val="22"/>
        </w:rPr>
        <w:fldChar w:fldCharType="begin"/>
      </w:r>
      <w:r w:rsidRPr="00FC7386">
        <w:rPr>
          <w:color w:val="auto"/>
          <w:sz w:val="22"/>
          <w:szCs w:val="22"/>
          <w:lang w:val="es-ES"/>
        </w:rPr>
        <w:instrText xml:space="preserve"> SEQ Tabla \* ARABIC </w:instrText>
      </w:r>
      <w:r w:rsidRPr="00FC7386">
        <w:rPr>
          <w:color w:val="auto"/>
          <w:sz w:val="22"/>
          <w:szCs w:val="22"/>
        </w:rPr>
        <w:fldChar w:fldCharType="separate"/>
      </w:r>
      <w:r w:rsidR="00C206C9">
        <w:rPr>
          <w:noProof/>
          <w:color w:val="auto"/>
          <w:sz w:val="22"/>
          <w:szCs w:val="22"/>
          <w:lang w:val="es-ES"/>
        </w:rPr>
        <w:t>2</w:t>
      </w:r>
      <w:r w:rsidRPr="00FC7386">
        <w:rPr>
          <w:color w:val="auto"/>
          <w:sz w:val="22"/>
          <w:szCs w:val="22"/>
        </w:rPr>
        <w:fldChar w:fldCharType="end"/>
      </w:r>
      <w:r w:rsidR="00FC7386" w:rsidRPr="00FC7386">
        <w:rPr>
          <w:color w:val="auto"/>
          <w:sz w:val="22"/>
          <w:szCs w:val="22"/>
          <w:lang w:val="es-ES"/>
        </w:rPr>
        <w:t xml:space="preserve">. </w:t>
      </w:r>
      <w:r w:rsidR="00FC7386" w:rsidRPr="00FC7386">
        <w:rPr>
          <w:b w:val="0"/>
          <w:color w:val="auto"/>
          <w:sz w:val="22"/>
          <w:szCs w:val="22"/>
          <w:lang w:val="es-ES"/>
        </w:rPr>
        <w:t>Evaluación del material orgánic</w:t>
      </w:r>
      <w:r w:rsidR="00FC7386">
        <w:rPr>
          <w:b w:val="0"/>
          <w:color w:val="auto"/>
          <w:sz w:val="22"/>
          <w:szCs w:val="22"/>
          <w:lang w:val="es-ES"/>
        </w:rPr>
        <w:t>o</w:t>
      </w:r>
      <w:r w:rsidR="00FC7386" w:rsidRPr="00FC7386">
        <w:rPr>
          <w:b w:val="0"/>
          <w:color w:val="auto"/>
          <w:sz w:val="22"/>
          <w:szCs w:val="22"/>
          <w:lang w:val="es-ES"/>
        </w:rPr>
        <w:t xml:space="preserve"> presente en los sólidos sintetizados</w:t>
      </w:r>
      <w:r w:rsidR="008E4461">
        <w:rPr>
          <w:b w:val="0"/>
          <w:color w:val="auto"/>
          <w:sz w:val="22"/>
          <w:szCs w:val="22"/>
          <w:lang w:val="es-ES"/>
        </w:rPr>
        <w:t>.</w:t>
      </w:r>
    </w:p>
    <w:tbl>
      <w:tblPr>
        <w:tblStyle w:val="TableGrid"/>
        <w:tblW w:w="0" w:type="auto"/>
        <w:jc w:val="center"/>
        <w:tblLook w:val="04A0" w:firstRow="1" w:lastRow="0" w:firstColumn="1" w:lastColumn="0" w:noHBand="0" w:noVBand="1"/>
      </w:tblPr>
      <w:tblGrid>
        <w:gridCol w:w="2097"/>
        <w:gridCol w:w="4982"/>
      </w:tblGrid>
      <w:tr w:rsidR="00D52951" w:rsidRPr="003168BC" w:rsidTr="00DB0BE7">
        <w:trPr>
          <w:trHeight w:val="351"/>
          <w:jc w:val="center"/>
        </w:trPr>
        <w:tc>
          <w:tcPr>
            <w:tcW w:w="2097" w:type="dxa"/>
            <w:vAlign w:val="center"/>
          </w:tcPr>
          <w:p w:rsidR="00D52951" w:rsidRPr="00525F45" w:rsidRDefault="00D52951" w:rsidP="00234195">
            <w:pPr>
              <w:pStyle w:val="NoSpacing"/>
              <w:jc w:val="center"/>
              <w:rPr>
                <w:b/>
                <w:sz w:val="22"/>
                <w:szCs w:val="22"/>
              </w:rPr>
            </w:pPr>
            <w:r w:rsidRPr="00DB0BE7">
              <w:rPr>
                <w:b/>
                <w:sz w:val="22"/>
                <w:szCs w:val="22"/>
                <w:lang w:val="es-ES"/>
              </w:rPr>
              <w:t>Sólido</w:t>
            </w:r>
          </w:p>
        </w:tc>
        <w:tc>
          <w:tcPr>
            <w:tcW w:w="4982" w:type="dxa"/>
            <w:vAlign w:val="center"/>
          </w:tcPr>
          <w:p w:rsidR="00D52951" w:rsidRPr="00525F45" w:rsidRDefault="00D52951" w:rsidP="00DB0BE7">
            <w:pPr>
              <w:pStyle w:val="NoSpacing"/>
              <w:jc w:val="center"/>
              <w:rPr>
                <w:b/>
                <w:sz w:val="22"/>
                <w:szCs w:val="22"/>
                <w:lang w:val="es-ES"/>
              </w:rPr>
            </w:pPr>
            <w:r w:rsidRPr="00525F45">
              <w:rPr>
                <w:b/>
                <w:sz w:val="22"/>
                <w:szCs w:val="22"/>
                <w:lang w:val="es-ES"/>
              </w:rPr>
              <w:t>Carga de material org</w:t>
            </w:r>
            <w:r>
              <w:rPr>
                <w:b/>
                <w:sz w:val="22"/>
                <w:szCs w:val="22"/>
                <w:lang w:val="es-ES"/>
              </w:rPr>
              <w:t>á</w:t>
            </w:r>
            <w:r w:rsidRPr="00525F45">
              <w:rPr>
                <w:b/>
                <w:sz w:val="22"/>
                <w:szCs w:val="22"/>
                <w:lang w:val="es-ES"/>
              </w:rPr>
              <w:t>nico</w:t>
            </w:r>
            <w:r>
              <w:rPr>
                <w:b/>
                <w:sz w:val="22"/>
                <w:szCs w:val="22"/>
                <w:lang w:val="es-ES"/>
              </w:rPr>
              <w:t xml:space="preserve"> </w:t>
            </w:r>
            <w:r w:rsidRPr="00525F45">
              <w:rPr>
                <w:b/>
                <w:sz w:val="22"/>
                <w:szCs w:val="22"/>
                <w:lang w:val="es-ES"/>
              </w:rPr>
              <w:t>según TGA</w:t>
            </w:r>
            <w:r w:rsidR="00DB0BE7">
              <w:rPr>
                <w:b/>
                <w:sz w:val="22"/>
                <w:szCs w:val="22"/>
                <w:lang w:val="es-ES"/>
              </w:rPr>
              <w:t xml:space="preserve"> </w:t>
            </w:r>
            <w:r>
              <w:rPr>
                <w:sz w:val="22"/>
                <w:szCs w:val="22"/>
                <w:lang w:val="es-ES"/>
              </w:rPr>
              <w:t xml:space="preserve">mg </w:t>
            </w:r>
            <w:r w:rsidR="00DB0BE7">
              <w:rPr>
                <w:sz w:val="22"/>
                <w:szCs w:val="22"/>
                <w:lang w:val="es-ES"/>
              </w:rPr>
              <w:t xml:space="preserve">materia </w:t>
            </w:r>
            <w:r>
              <w:rPr>
                <w:sz w:val="22"/>
                <w:szCs w:val="22"/>
                <w:lang w:val="es-ES"/>
              </w:rPr>
              <w:t>org</w:t>
            </w:r>
            <w:r w:rsidR="00DB0BE7">
              <w:rPr>
                <w:sz w:val="22"/>
                <w:szCs w:val="22"/>
                <w:lang w:val="es-ES"/>
              </w:rPr>
              <w:t>ánica</w:t>
            </w:r>
            <w:r>
              <w:rPr>
                <w:sz w:val="22"/>
                <w:szCs w:val="22"/>
                <w:lang w:val="es-ES"/>
              </w:rPr>
              <w:t>/mg sólido</w:t>
            </w:r>
          </w:p>
        </w:tc>
      </w:tr>
      <w:tr w:rsidR="00D52951" w:rsidRPr="00917550" w:rsidTr="00DB0BE7">
        <w:trPr>
          <w:trHeight w:val="323"/>
          <w:jc w:val="center"/>
        </w:trPr>
        <w:tc>
          <w:tcPr>
            <w:tcW w:w="2097" w:type="dxa"/>
            <w:vAlign w:val="center"/>
          </w:tcPr>
          <w:p w:rsidR="00D52951" w:rsidRPr="00917550" w:rsidRDefault="00D52951" w:rsidP="00234195">
            <w:pPr>
              <w:pStyle w:val="NoSpacing"/>
              <w:jc w:val="center"/>
              <w:rPr>
                <w:sz w:val="22"/>
                <w:szCs w:val="22"/>
                <w:lang w:val="es-ES"/>
              </w:rPr>
            </w:pPr>
            <w:r w:rsidRPr="00917550">
              <w:rPr>
                <w:sz w:val="22"/>
                <w:szCs w:val="22"/>
                <w:lang w:val="es-ES"/>
              </w:rPr>
              <w:t>M1</w:t>
            </w:r>
          </w:p>
        </w:tc>
        <w:tc>
          <w:tcPr>
            <w:tcW w:w="4982" w:type="dxa"/>
            <w:vAlign w:val="center"/>
          </w:tcPr>
          <w:p w:rsidR="00D52951" w:rsidRPr="00917550" w:rsidRDefault="00D52951" w:rsidP="00234195">
            <w:pPr>
              <w:pStyle w:val="NoSpacing"/>
              <w:jc w:val="center"/>
              <w:rPr>
                <w:sz w:val="22"/>
                <w:szCs w:val="22"/>
                <w:lang w:val="es-ES"/>
              </w:rPr>
            </w:pPr>
            <w:r w:rsidRPr="00917550">
              <w:rPr>
                <w:sz w:val="22"/>
                <w:szCs w:val="22"/>
                <w:lang w:val="es-ES"/>
              </w:rPr>
              <w:t>0.0</w:t>
            </w:r>
            <w:r w:rsidR="00BF2A49">
              <w:rPr>
                <w:sz w:val="22"/>
                <w:szCs w:val="22"/>
                <w:lang w:val="es-ES"/>
              </w:rPr>
              <w:t>4</w:t>
            </w:r>
          </w:p>
        </w:tc>
      </w:tr>
      <w:tr w:rsidR="00D52951" w:rsidRPr="00525F45" w:rsidTr="00DB0BE7">
        <w:trPr>
          <w:trHeight w:val="381"/>
          <w:jc w:val="center"/>
        </w:trPr>
        <w:tc>
          <w:tcPr>
            <w:tcW w:w="2097" w:type="dxa"/>
            <w:vAlign w:val="center"/>
          </w:tcPr>
          <w:p w:rsidR="00D52951" w:rsidRPr="00917550" w:rsidRDefault="00D52951" w:rsidP="00234195">
            <w:pPr>
              <w:pStyle w:val="NoSpacing"/>
              <w:jc w:val="center"/>
              <w:rPr>
                <w:sz w:val="22"/>
                <w:szCs w:val="22"/>
                <w:lang w:val="es-ES"/>
              </w:rPr>
            </w:pPr>
            <w:r w:rsidRPr="00917550">
              <w:rPr>
                <w:sz w:val="22"/>
                <w:szCs w:val="22"/>
                <w:lang w:val="es-ES"/>
              </w:rPr>
              <w:t>M1-N3</w:t>
            </w:r>
          </w:p>
        </w:tc>
        <w:tc>
          <w:tcPr>
            <w:tcW w:w="4982" w:type="dxa"/>
            <w:vAlign w:val="center"/>
          </w:tcPr>
          <w:p w:rsidR="00D52951" w:rsidRPr="00525F45" w:rsidRDefault="00D52951" w:rsidP="00234195">
            <w:pPr>
              <w:pStyle w:val="NoSpacing"/>
              <w:jc w:val="center"/>
              <w:rPr>
                <w:sz w:val="22"/>
                <w:szCs w:val="22"/>
                <w:lang w:val="es-ES"/>
              </w:rPr>
            </w:pPr>
            <w:r w:rsidRPr="00525F45">
              <w:rPr>
                <w:sz w:val="22"/>
                <w:szCs w:val="22"/>
                <w:lang w:val="es-ES"/>
              </w:rPr>
              <w:t>0.1</w:t>
            </w:r>
            <w:r>
              <w:rPr>
                <w:sz w:val="22"/>
                <w:szCs w:val="22"/>
                <w:lang w:val="es-ES"/>
              </w:rPr>
              <w:t>1</w:t>
            </w:r>
            <w:r w:rsidRPr="00525F45">
              <w:rPr>
                <w:sz w:val="22"/>
                <w:szCs w:val="22"/>
                <w:lang w:val="es-ES"/>
              </w:rPr>
              <w:t xml:space="preserve"> </w:t>
            </w:r>
          </w:p>
        </w:tc>
      </w:tr>
      <w:tr w:rsidR="00D52951" w:rsidRPr="00525F45" w:rsidTr="00DB0BE7">
        <w:trPr>
          <w:trHeight w:val="381"/>
          <w:jc w:val="center"/>
        </w:trPr>
        <w:tc>
          <w:tcPr>
            <w:tcW w:w="2097" w:type="dxa"/>
            <w:vAlign w:val="center"/>
          </w:tcPr>
          <w:p w:rsidR="00D52951" w:rsidRPr="00917550" w:rsidRDefault="00D52951" w:rsidP="00234195">
            <w:pPr>
              <w:pStyle w:val="NoSpacing"/>
              <w:jc w:val="center"/>
              <w:rPr>
                <w:sz w:val="22"/>
                <w:szCs w:val="22"/>
                <w:lang w:val="es-ES"/>
              </w:rPr>
            </w:pPr>
            <w:r w:rsidRPr="00917550">
              <w:rPr>
                <w:sz w:val="22"/>
                <w:szCs w:val="22"/>
                <w:lang w:val="es-ES"/>
              </w:rPr>
              <w:t>S1</w:t>
            </w:r>
          </w:p>
        </w:tc>
        <w:tc>
          <w:tcPr>
            <w:tcW w:w="4982" w:type="dxa"/>
            <w:vAlign w:val="center"/>
          </w:tcPr>
          <w:p w:rsidR="00D52951" w:rsidRPr="00525F45" w:rsidRDefault="00D52951" w:rsidP="00234195">
            <w:pPr>
              <w:pStyle w:val="NoSpacing"/>
              <w:jc w:val="center"/>
              <w:rPr>
                <w:sz w:val="22"/>
                <w:szCs w:val="22"/>
                <w:lang w:val="es-ES"/>
              </w:rPr>
            </w:pPr>
            <w:r>
              <w:rPr>
                <w:sz w:val="22"/>
                <w:szCs w:val="22"/>
                <w:lang w:val="es-ES"/>
              </w:rPr>
              <w:t xml:space="preserve">0.06 </w:t>
            </w:r>
          </w:p>
        </w:tc>
      </w:tr>
      <w:tr w:rsidR="00D52951" w:rsidRPr="00525F45" w:rsidTr="00DB0BE7">
        <w:trPr>
          <w:trHeight w:val="381"/>
          <w:jc w:val="center"/>
        </w:trPr>
        <w:tc>
          <w:tcPr>
            <w:tcW w:w="2097" w:type="dxa"/>
            <w:vAlign w:val="center"/>
          </w:tcPr>
          <w:p w:rsidR="00D52951" w:rsidRPr="00917550" w:rsidRDefault="00D52951" w:rsidP="00234195">
            <w:pPr>
              <w:pStyle w:val="NoSpacing"/>
              <w:jc w:val="center"/>
              <w:rPr>
                <w:sz w:val="22"/>
                <w:szCs w:val="22"/>
                <w:lang w:val="es-ES"/>
              </w:rPr>
            </w:pPr>
            <w:r w:rsidRPr="00917550">
              <w:rPr>
                <w:sz w:val="22"/>
                <w:szCs w:val="22"/>
                <w:lang w:val="es-ES"/>
              </w:rPr>
              <w:t>S1-N3</w:t>
            </w:r>
          </w:p>
        </w:tc>
        <w:tc>
          <w:tcPr>
            <w:tcW w:w="4982" w:type="dxa"/>
            <w:vAlign w:val="center"/>
          </w:tcPr>
          <w:p w:rsidR="00D52951" w:rsidRPr="00525F45" w:rsidRDefault="00D52951" w:rsidP="00234195">
            <w:pPr>
              <w:pStyle w:val="NoSpacing"/>
              <w:jc w:val="center"/>
              <w:rPr>
                <w:sz w:val="22"/>
                <w:szCs w:val="22"/>
                <w:lang w:val="es-ES"/>
              </w:rPr>
            </w:pPr>
            <w:r>
              <w:rPr>
                <w:sz w:val="22"/>
                <w:szCs w:val="22"/>
                <w:lang w:val="es-ES"/>
              </w:rPr>
              <w:t xml:space="preserve">0.12 </w:t>
            </w:r>
          </w:p>
        </w:tc>
      </w:tr>
    </w:tbl>
    <w:p w:rsidR="00D52951" w:rsidRDefault="00D52951" w:rsidP="00234195">
      <w:pPr>
        <w:spacing w:after="0" w:line="240" w:lineRule="auto"/>
        <w:rPr>
          <w:lang w:val="es-ES"/>
        </w:rPr>
      </w:pPr>
    </w:p>
    <w:p w:rsidR="00525F45" w:rsidRDefault="0092789C" w:rsidP="00234195">
      <w:pPr>
        <w:spacing w:after="0" w:line="240" w:lineRule="auto"/>
        <w:rPr>
          <w:lang w:val="es-ES"/>
        </w:rPr>
      </w:pPr>
      <w:r>
        <w:rPr>
          <w:lang w:val="es-ES"/>
        </w:rPr>
        <w:t>L</w:t>
      </w:r>
      <w:r w:rsidR="00D52951">
        <w:rPr>
          <w:lang w:val="es-ES"/>
        </w:rPr>
        <w:t xml:space="preserve">os resultados obtenidos por termogravimetría muestran que hay </w:t>
      </w:r>
      <w:r w:rsidR="00D52951" w:rsidRPr="0051088D">
        <w:rPr>
          <w:lang w:val="es-ES"/>
        </w:rPr>
        <w:t>presencia del compuesto y está por encima del 70%</w:t>
      </w:r>
      <w:r w:rsidRPr="0051088D">
        <w:rPr>
          <w:lang w:val="es-ES"/>
        </w:rPr>
        <w:t xml:space="preserve"> de la carga teórica (DADS cargado inicialmente)</w:t>
      </w:r>
      <w:r w:rsidR="005A7325">
        <w:rPr>
          <w:lang w:val="es-ES"/>
        </w:rPr>
        <w:t>.</w:t>
      </w:r>
      <w:r w:rsidR="00D52951" w:rsidRPr="0051088D">
        <w:rPr>
          <w:lang w:val="es-ES"/>
        </w:rPr>
        <w:t xml:space="preserve"> </w:t>
      </w:r>
      <w:r w:rsidR="005A7325">
        <w:rPr>
          <w:lang w:val="es-ES"/>
        </w:rPr>
        <w:t>A</w:t>
      </w:r>
      <w:r w:rsidR="00D52951" w:rsidRPr="0051088D">
        <w:rPr>
          <w:lang w:val="es-ES"/>
        </w:rPr>
        <w:t xml:space="preserve">dicionalmente, el estudio del material encapsulado y funcionalizado con la puerta molecular muestra un incremento en la cantidad </w:t>
      </w:r>
      <w:r w:rsidR="00D52951" w:rsidRPr="0051088D">
        <w:rPr>
          <w:lang w:val="es-ES"/>
        </w:rPr>
        <w:lastRenderedPageBreak/>
        <w:t>de materia orgánica</w:t>
      </w:r>
      <w:r w:rsidR="00EF0B42">
        <w:rPr>
          <w:lang w:val="es-ES"/>
        </w:rPr>
        <w:t>,</w:t>
      </w:r>
      <w:r w:rsidR="00D52951" w:rsidRPr="0051088D">
        <w:rPr>
          <w:lang w:val="es-ES"/>
        </w:rPr>
        <w:t xml:space="preserve"> que confirma la presencia del sistema molecular anclado a la superficie del sólido. </w:t>
      </w:r>
    </w:p>
    <w:p w:rsidR="0058456F" w:rsidRDefault="0058456F" w:rsidP="00234195">
      <w:pPr>
        <w:spacing w:after="0" w:line="240" w:lineRule="auto"/>
        <w:rPr>
          <w:lang w:val="es-ES"/>
        </w:rPr>
      </w:pPr>
    </w:p>
    <w:p w:rsidR="00577632" w:rsidRPr="0051088D" w:rsidRDefault="00EC386F" w:rsidP="00E665B0">
      <w:pPr>
        <w:pStyle w:val="Heading2"/>
      </w:pPr>
      <w:bookmarkStart w:id="56" w:name="_Toc429397068"/>
      <w:r w:rsidRPr="0051088D">
        <w:t>Optimización del cargado</w:t>
      </w:r>
      <w:bookmarkEnd w:id="56"/>
    </w:p>
    <w:p w:rsidR="00E665B0" w:rsidRDefault="00E665B0" w:rsidP="00234195">
      <w:pPr>
        <w:spacing w:after="0" w:line="240" w:lineRule="auto"/>
        <w:rPr>
          <w:lang w:val="es-ES"/>
        </w:rPr>
      </w:pPr>
      <w:r>
        <w:rPr>
          <w:lang w:val="es-ES"/>
        </w:rPr>
        <w:t>E</w:t>
      </w:r>
      <w:r w:rsidR="0058456F">
        <w:rPr>
          <w:lang w:val="es-ES"/>
        </w:rPr>
        <w:t>n</w:t>
      </w:r>
      <w:r w:rsidR="00EC386F" w:rsidRPr="0051088D">
        <w:rPr>
          <w:lang w:val="es-ES"/>
        </w:rPr>
        <w:t xml:space="preserve"> este caso se probaron dos sólidos diferentes: MCM41  y SBA15</w:t>
      </w:r>
      <w:r w:rsidR="000D2748" w:rsidRPr="0051088D">
        <w:rPr>
          <w:lang w:val="es-ES"/>
        </w:rPr>
        <w:t>, que se cargaron con una solución de DADS en acetonitrilo,</w:t>
      </w:r>
      <w:r w:rsidR="00EC386F" w:rsidRPr="0051088D">
        <w:rPr>
          <w:lang w:val="es-ES"/>
        </w:rPr>
        <w:t xml:space="preserve"> </w:t>
      </w:r>
      <w:r w:rsidR="000D2748" w:rsidRPr="0051088D">
        <w:rPr>
          <w:lang w:val="es-ES"/>
        </w:rPr>
        <w:t>empleando</w:t>
      </w:r>
      <w:r w:rsidR="00EC386F" w:rsidRPr="0051088D">
        <w:rPr>
          <w:lang w:val="es-ES"/>
        </w:rPr>
        <w:t xml:space="preserve"> diferente número de ciclos de carga</w:t>
      </w:r>
      <w:r>
        <w:rPr>
          <w:lang w:val="es-ES"/>
        </w:rPr>
        <w:t xml:space="preserve"> </w:t>
      </w:r>
      <w:r w:rsidR="00EC386F" w:rsidRPr="0051088D">
        <w:rPr>
          <w:lang w:val="es-ES"/>
        </w:rPr>
        <w:t>(1, 2 y 3)</w:t>
      </w:r>
      <w:r w:rsidR="0018629D" w:rsidRPr="0051088D">
        <w:rPr>
          <w:lang w:val="es-ES"/>
        </w:rPr>
        <w:t>. Cada carga de 0,5ml</w:t>
      </w:r>
      <w:r w:rsidR="00EC386F" w:rsidRPr="0051088D">
        <w:rPr>
          <w:lang w:val="es-ES"/>
        </w:rPr>
        <w:t xml:space="preserve">. </w:t>
      </w:r>
    </w:p>
    <w:p w:rsidR="004C45F3" w:rsidRPr="0051088D" w:rsidRDefault="00EC386F" w:rsidP="00234195">
      <w:pPr>
        <w:spacing w:after="0" w:line="240" w:lineRule="auto"/>
        <w:rPr>
          <w:lang w:val="es-ES"/>
        </w:rPr>
      </w:pPr>
      <w:r w:rsidRPr="0051088D">
        <w:rPr>
          <w:lang w:val="es-ES"/>
        </w:rPr>
        <w:t>Se cuantificó la cantidad de DADS liberado para cada uno de ellos</w:t>
      </w:r>
      <w:r w:rsidR="00BF2A49" w:rsidRPr="0051088D">
        <w:rPr>
          <w:lang w:val="es-ES"/>
        </w:rPr>
        <w:t xml:space="preserve"> mediante el método de cromatografía desarrollado previamente.</w:t>
      </w:r>
      <w:r w:rsidR="004C45F3" w:rsidRPr="0051088D">
        <w:rPr>
          <w:lang w:val="es-ES"/>
        </w:rPr>
        <w:t xml:space="preserve"> </w:t>
      </w:r>
    </w:p>
    <w:p w:rsidR="00557674" w:rsidRPr="0051088D" w:rsidRDefault="006B4FAC" w:rsidP="00234195">
      <w:pPr>
        <w:spacing w:after="0" w:line="240" w:lineRule="auto"/>
      </w:pPr>
      <w:r w:rsidRPr="0051088D">
        <w:rPr>
          <w:noProof/>
          <w:lang w:val="en-US"/>
        </w:rPr>
        <w:drawing>
          <wp:inline distT="0" distB="0" distL="0" distR="0" wp14:anchorId="3D5E7112" wp14:editId="6B2490E9">
            <wp:extent cx="5057775" cy="24860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B4FAC" w:rsidRPr="0051088D" w:rsidRDefault="00557674" w:rsidP="00234195">
      <w:pPr>
        <w:pStyle w:val="Caption"/>
        <w:spacing w:after="0"/>
        <w:jc w:val="center"/>
        <w:rPr>
          <w:color w:val="auto"/>
          <w:sz w:val="22"/>
          <w:szCs w:val="22"/>
          <w:lang w:val="es-ES"/>
        </w:rPr>
      </w:pPr>
      <w:r w:rsidRPr="0051088D">
        <w:rPr>
          <w:color w:val="auto"/>
          <w:sz w:val="22"/>
          <w:szCs w:val="22"/>
          <w:lang w:val="es-ES"/>
        </w:rPr>
        <w:t xml:space="preserve">Figura </w:t>
      </w:r>
      <w:r w:rsidRPr="0051088D">
        <w:rPr>
          <w:color w:val="auto"/>
          <w:sz w:val="22"/>
          <w:szCs w:val="22"/>
        </w:rPr>
        <w:fldChar w:fldCharType="begin"/>
      </w:r>
      <w:r w:rsidRPr="0051088D">
        <w:rPr>
          <w:color w:val="auto"/>
          <w:sz w:val="22"/>
          <w:szCs w:val="22"/>
          <w:lang w:val="es-ES"/>
        </w:rPr>
        <w:instrText xml:space="preserve"> SEQ Figura \* ARABIC </w:instrText>
      </w:r>
      <w:r w:rsidRPr="0051088D">
        <w:rPr>
          <w:color w:val="auto"/>
          <w:sz w:val="22"/>
          <w:szCs w:val="22"/>
        </w:rPr>
        <w:fldChar w:fldCharType="separate"/>
      </w:r>
      <w:r w:rsidR="00C206C9">
        <w:rPr>
          <w:noProof/>
          <w:color w:val="auto"/>
          <w:sz w:val="22"/>
          <w:szCs w:val="22"/>
          <w:lang w:val="es-ES"/>
        </w:rPr>
        <w:t>4</w:t>
      </w:r>
      <w:r w:rsidRPr="0051088D">
        <w:rPr>
          <w:color w:val="auto"/>
          <w:sz w:val="22"/>
          <w:szCs w:val="22"/>
        </w:rPr>
        <w:fldChar w:fldCharType="end"/>
      </w:r>
      <w:r w:rsidRPr="0051088D">
        <w:rPr>
          <w:color w:val="auto"/>
          <w:sz w:val="22"/>
          <w:szCs w:val="22"/>
          <w:lang w:val="es-ES"/>
        </w:rPr>
        <w:t xml:space="preserve">. </w:t>
      </w:r>
      <w:r w:rsidR="00EF5D5F" w:rsidRPr="0051088D">
        <w:rPr>
          <w:b w:val="0"/>
          <w:color w:val="auto"/>
          <w:sz w:val="22"/>
          <w:szCs w:val="22"/>
          <w:lang w:val="es-ES"/>
        </w:rPr>
        <w:t>Porcentaje de liberación de DADS desde el sólido MCM41 (M) y SBA15 (S) previamente cargado con 1, 2 y 3 ciclos de carga.</w:t>
      </w:r>
    </w:p>
    <w:p w:rsidR="004C45F3" w:rsidRPr="0051088D" w:rsidRDefault="004C45F3" w:rsidP="00234195">
      <w:pPr>
        <w:spacing w:after="0" w:line="240" w:lineRule="auto"/>
        <w:rPr>
          <w:highlight w:val="yellow"/>
          <w:lang w:val="es-ES"/>
        </w:rPr>
      </w:pPr>
    </w:p>
    <w:p w:rsidR="00741D9A" w:rsidRPr="0051088D" w:rsidRDefault="004C45F3" w:rsidP="00234195">
      <w:pPr>
        <w:spacing w:after="0" w:line="240" w:lineRule="auto"/>
        <w:rPr>
          <w:lang w:val="es-ES"/>
        </w:rPr>
      </w:pPr>
      <w:r w:rsidRPr="0051088D">
        <w:rPr>
          <w:lang w:val="es-ES"/>
        </w:rPr>
        <w:t xml:space="preserve">La figura 4 muestra que el porcentaje de liberación es mayor con solo un ciclo de carga que con dos y tres tanto en el sólido MCM41 como en SBA15. Este comportamiento podría deberse a que </w:t>
      </w:r>
      <w:r w:rsidR="00963878" w:rsidRPr="0051088D">
        <w:rPr>
          <w:lang w:val="es-ES"/>
        </w:rPr>
        <w:t xml:space="preserve">el DADS ocupa la mayor parte del volumen intersticial </w:t>
      </w:r>
      <w:r w:rsidR="00741D9A" w:rsidRPr="0051088D">
        <w:rPr>
          <w:lang w:val="es-ES"/>
        </w:rPr>
        <w:t xml:space="preserve">con la primera carga </w:t>
      </w:r>
      <w:r w:rsidR="00963878" w:rsidRPr="0051088D">
        <w:rPr>
          <w:lang w:val="es-ES"/>
        </w:rPr>
        <w:t xml:space="preserve">de modo que el sólido </w:t>
      </w:r>
      <w:r w:rsidR="00342441">
        <w:rPr>
          <w:lang w:val="es-ES"/>
        </w:rPr>
        <w:t>se satura, y las siguientes cargas</w:t>
      </w:r>
      <w:r w:rsidR="00741D9A" w:rsidRPr="0051088D">
        <w:rPr>
          <w:lang w:val="es-ES"/>
        </w:rPr>
        <w:t xml:space="preserve"> </w:t>
      </w:r>
      <w:r w:rsidR="00342441">
        <w:rPr>
          <w:lang w:val="es-ES"/>
        </w:rPr>
        <w:t>no</w:t>
      </w:r>
      <w:r w:rsidR="00741D9A" w:rsidRPr="0051088D">
        <w:rPr>
          <w:lang w:val="es-ES"/>
        </w:rPr>
        <w:t xml:space="preserve"> supone</w:t>
      </w:r>
      <w:r w:rsidR="00342441">
        <w:rPr>
          <w:lang w:val="es-ES"/>
        </w:rPr>
        <w:t>n</w:t>
      </w:r>
      <w:r w:rsidR="00741D9A" w:rsidRPr="0051088D">
        <w:rPr>
          <w:lang w:val="es-ES"/>
        </w:rPr>
        <w:t xml:space="preserve"> un gran incremento</w:t>
      </w:r>
      <w:r w:rsidR="00342441">
        <w:rPr>
          <w:lang w:val="es-ES"/>
        </w:rPr>
        <w:t xml:space="preserve"> en la capacidad de encapsulado</w:t>
      </w:r>
      <w:r w:rsidR="00741D9A" w:rsidRPr="0051088D">
        <w:rPr>
          <w:lang w:val="es-ES"/>
        </w:rPr>
        <w:t>.</w:t>
      </w:r>
    </w:p>
    <w:p w:rsidR="00741D9A" w:rsidRPr="0051088D" w:rsidRDefault="00741D9A" w:rsidP="00234195">
      <w:pPr>
        <w:spacing w:after="0" w:line="240" w:lineRule="auto"/>
        <w:rPr>
          <w:lang w:val="es-ES"/>
        </w:rPr>
      </w:pPr>
      <w:r w:rsidRPr="0051088D">
        <w:rPr>
          <w:lang w:val="es-ES"/>
        </w:rPr>
        <w:t>Sin embargo</w:t>
      </w:r>
      <w:r w:rsidR="003A1852" w:rsidRPr="0051088D">
        <w:rPr>
          <w:lang w:val="es-ES"/>
        </w:rPr>
        <w:t>, otra posibilidad es que el DADS una vez cargado a alta concentración encuentre dificultades para salir de los poros y necesite más tiempo, como parece observarse en</w:t>
      </w:r>
      <w:r w:rsidRPr="0051088D">
        <w:rPr>
          <w:lang w:val="es-ES"/>
        </w:rPr>
        <w:t xml:space="preserve"> </w:t>
      </w:r>
      <w:r w:rsidR="003A1852" w:rsidRPr="0051088D">
        <w:rPr>
          <w:lang w:val="es-ES"/>
        </w:rPr>
        <w:t>u</w:t>
      </w:r>
      <w:r w:rsidRPr="0051088D">
        <w:rPr>
          <w:lang w:val="es-ES"/>
        </w:rPr>
        <w:t xml:space="preserve">n estudio con ibuprofeno </w:t>
      </w:r>
      <w:r w:rsidRPr="0051088D">
        <w:rPr>
          <w:lang w:val="es-ES"/>
        </w:rPr>
        <w:fldChar w:fldCharType="begin" w:fldLock="1"/>
      </w:r>
      <w:r w:rsidR="006764B7">
        <w:rPr>
          <w:lang w:val="es-ES"/>
        </w:rPr>
        <w:instrText>ADDIN CSL_CITATION { "citationItems" : [ { "id" : "ITEM-1", "itemData" : { "DOI" : "10.1016/j.ejpb.2003.12.007", "ISBN" : "0939-6411", "ISSN" : "09396411", "PMID" : "15093603", "abstract" : "The aim of this study is to determine the feasibility of loading biologically active molecules into templated mesoporous silica (MCM 41). This material shows an important mesoporosity associated to hexagonally organized channels, a narrow pore size distribution and a large surface area. Ibuprofen was selected as a model molecule since it is a well documented and much used anti-inflammatory drug. Furthermore, it has a lipophilic character and its molecular size is suitable for inclusion within the mesopores of the MCM 41 material. In order to load ibuprofen within the mesopores, adsorption experiments using various solvents or successive impregnations with solutions of ibuprofen in ethanol were performed. At each step of the loading process, the pore filling was characterized by nitrogen adsorption experiments and by X-ray diffraction. The impregnation procedure results in a significant improvement of the amount of ibuprofen loaded into MCM 41. The in vitro drug release was investigated with simulated biological fluids (gastric and intestinal). Hundred percent release is observed at the end of the in vitro experiment. \u00a9 2004 Elsevier B.V. All rights reserved.", "author" : [ { "dropping-particle" : "", "family" : "Charnay", "given" : "C.", "non-dropping-particle" : "", "parse-names" : false, "suffix" : "" }, { "dropping-particle" : "", "family" : "B\u00e9gu", "given" : "S.", "non-dropping-particle" : "", "parse-names" : false, "suffix" : "" }, { "dropping-particle" : "", "family" : "Tourn\u00e9-P\u00e9teilh", "given" : "C.", "non-dropping-particle" : "", "parse-names" : false, "suffix" : "" }, { "dropping-particle" : "", "family" : "Nicole", "given" : "L.", "non-dropping-particle" : "", "parse-names" : false, "suffix" : "" }, { "dropping-particle" : "", "family" : "Lerner", "given" : "D. a.", "non-dropping-particle" : "", "parse-names" : false, "suffix" : "" }, { "dropping-particle" : "", "family" : "Devoisselle", "given" : "J. M.", "non-dropping-particle" : "", "parse-names" : false, "suffix" : "" } ], "container-title" : "European Journal of Pharmaceutics and Biopharmaceutics", "id" : "ITEM-1", "issue" : "3", "issued" : { "date-parts" : [ [ "2004" ] ] }, "page" : "533-540", "title" : "Inclusion of ibuprofen in mesoporous templated silica: Drug loading and release property", "type" : "article-journal", "volume" : "57" }, "uris" : [ "http://www.mendeley.com/documents/?uuid=1ee2afd9-d178-4b72-9a6e-5db956b1649d" ] } ], "mendeley" : { "formattedCitation" : "(Charnay et al. 2004)", "plainTextFormattedCitation" : "(Charnay et al. 2004)", "previouslyFormattedCitation" : "(Charnay et al. 2004)" }, "properties" : { "noteIndex" : 0 }, "schema" : "https://github.com/citation-style-language/schema/raw/master/csl-citation.json" }</w:instrText>
      </w:r>
      <w:r w:rsidRPr="0051088D">
        <w:rPr>
          <w:lang w:val="es-ES"/>
        </w:rPr>
        <w:fldChar w:fldCharType="separate"/>
      </w:r>
      <w:r w:rsidRPr="0051088D">
        <w:rPr>
          <w:noProof/>
          <w:lang w:val="es-ES"/>
        </w:rPr>
        <w:t>(Charnay et al. 2004)</w:t>
      </w:r>
      <w:r w:rsidRPr="0051088D">
        <w:rPr>
          <w:lang w:val="es-ES"/>
        </w:rPr>
        <w:fldChar w:fldCharType="end"/>
      </w:r>
      <w:r w:rsidRPr="0051088D">
        <w:rPr>
          <w:lang w:val="es-ES"/>
        </w:rPr>
        <w:t xml:space="preserve"> </w:t>
      </w:r>
      <w:r w:rsidR="003A1852" w:rsidRPr="0051088D">
        <w:rPr>
          <w:lang w:val="es-ES"/>
        </w:rPr>
        <w:t xml:space="preserve">que </w:t>
      </w:r>
      <w:r w:rsidRPr="0051088D">
        <w:rPr>
          <w:lang w:val="es-ES"/>
        </w:rPr>
        <w:t xml:space="preserve">muestra </w:t>
      </w:r>
      <w:r w:rsidR="003A1852" w:rsidRPr="0051088D">
        <w:rPr>
          <w:lang w:val="es-ES"/>
        </w:rPr>
        <w:t>una</w:t>
      </w:r>
      <w:r w:rsidRPr="0051088D">
        <w:rPr>
          <w:lang w:val="es-ES"/>
        </w:rPr>
        <w:t xml:space="preserve"> </w:t>
      </w:r>
      <w:r w:rsidR="003A1852" w:rsidRPr="0051088D">
        <w:rPr>
          <w:lang w:val="es-ES"/>
        </w:rPr>
        <w:t>liberación de</w:t>
      </w:r>
      <w:r w:rsidRPr="0051088D">
        <w:rPr>
          <w:lang w:val="es-ES"/>
        </w:rPr>
        <w:t xml:space="preserve"> hasta el 100% de la carga, </w:t>
      </w:r>
      <w:r w:rsidR="003A1852" w:rsidRPr="0051088D">
        <w:rPr>
          <w:lang w:val="es-ES"/>
        </w:rPr>
        <w:t xml:space="preserve">siendo </w:t>
      </w:r>
      <w:r w:rsidRPr="0051088D">
        <w:rPr>
          <w:lang w:val="es-ES"/>
        </w:rPr>
        <w:t xml:space="preserve">la principal diferencia </w:t>
      </w:r>
      <w:r w:rsidR="003A1852" w:rsidRPr="0051088D">
        <w:rPr>
          <w:lang w:val="es-ES"/>
        </w:rPr>
        <w:t>metodológica,</w:t>
      </w:r>
      <w:r w:rsidRPr="0051088D">
        <w:rPr>
          <w:lang w:val="es-ES"/>
        </w:rPr>
        <w:t xml:space="preserve"> </w:t>
      </w:r>
      <w:r w:rsidR="003A1852" w:rsidRPr="0051088D">
        <w:rPr>
          <w:lang w:val="es-ES"/>
        </w:rPr>
        <w:t>el</w:t>
      </w:r>
      <w:r w:rsidRPr="0051088D">
        <w:rPr>
          <w:lang w:val="es-ES"/>
        </w:rPr>
        <w:t xml:space="preserve"> tiempo del ensayo de liberación </w:t>
      </w:r>
      <w:r w:rsidR="003A1852" w:rsidRPr="0051088D">
        <w:rPr>
          <w:lang w:val="es-ES"/>
        </w:rPr>
        <w:t>(</w:t>
      </w:r>
      <w:r w:rsidRPr="0051088D">
        <w:rPr>
          <w:lang w:val="es-ES"/>
        </w:rPr>
        <w:t>mucho mayor en el del ibuprofeno</w:t>
      </w:r>
      <w:r w:rsidR="003A1852" w:rsidRPr="0051088D">
        <w:rPr>
          <w:lang w:val="es-ES"/>
        </w:rPr>
        <w:t>)</w:t>
      </w:r>
      <w:r w:rsidR="00342441">
        <w:rPr>
          <w:lang w:val="es-ES"/>
        </w:rPr>
        <w:t>.</w:t>
      </w:r>
    </w:p>
    <w:p w:rsidR="003A1852" w:rsidRPr="0051088D" w:rsidRDefault="003A1852" w:rsidP="00234195">
      <w:pPr>
        <w:spacing w:after="0" w:line="240" w:lineRule="auto"/>
        <w:rPr>
          <w:lang w:val="es-ES"/>
        </w:rPr>
      </w:pPr>
      <w:r w:rsidRPr="0051088D">
        <w:rPr>
          <w:lang w:val="es-ES"/>
        </w:rPr>
        <w:t xml:space="preserve">En dicho estudio utilizaron diferentes solventes </w:t>
      </w:r>
      <w:r w:rsidR="000731B1" w:rsidRPr="0051088D">
        <w:rPr>
          <w:lang w:val="es-ES"/>
        </w:rPr>
        <w:t>y se observó una absorción débil cuando utilizaron disolventes apróticos como el DMSO (igual que el ACN) y una mejor absorción al utilizar solventes no polares  o polares próticos como el hexano y el etanol</w:t>
      </w:r>
      <w:r w:rsidR="00342441">
        <w:rPr>
          <w:lang w:val="es-ES"/>
        </w:rPr>
        <w:t>,</w:t>
      </w:r>
      <w:r w:rsidR="0047147E" w:rsidRPr="0051088D">
        <w:rPr>
          <w:lang w:val="es-ES"/>
        </w:rPr>
        <w:t xml:space="preserve"> por lo que sería interesante </w:t>
      </w:r>
      <w:r w:rsidR="00342441">
        <w:rPr>
          <w:lang w:val="es-ES"/>
        </w:rPr>
        <w:t xml:space="preserve">para estudios posteriores </w:t>
      </w:r>
      <w:r w:rsidR="0047147E" w:rsidRPr="0051088D">
        <w:rPr>
          <w:lang w:val="es-ES"/>
        </w:rPr>
        <w:t>repetir los ensayos con estos solventes</w:t>
      </w:r>
      <w:r w:rsidR="00342441">
        <w:rPr>
          <w:lang w:val="es-ES"/>
        </w:rPr>
        <w:t xml:space="preserve"> y probar mayores tiempos de liberación</w:t>
      </w:r>
      <w:r w:rsidR="0047147E" w:rsidRPr="0051088D">
        <w:rPr>
          <w:lang w:val="es-ES"/>
        </w:rPr>
        <w:t>.</w:t>
      </w:r>
    </w:p>
    <w:p w:rsidR="00342441" w:rsidRDefault="003A1852" w:rsidP="00234195">
      <w:pPr>
        <w:spacing w:after="0" w:line="240" w:lineRule="auto"/>
        <w:rPr>
          <w:lang w:val="es-ES"/>
        </w:rPr>
      </w:pPr>
      <w:r w:rsidRPr="0051088D">
        <w:rPr>
          <w:lang w:val="es-ES"/>
        </w:rPr>
        <w:t>Por otra parte</w:t>
      </w:r>
      <w:r w:rsidR="000A6004">
        <w:rPr>
          <w:lang w:val="es-ES"/>
        </w:rPr>
        <w:t>,</w:t>
      </w:r>
      <w:r w:rsidRPr="0051088D">
        <w:rPr>
          <w:lang w:val="es-ES"/>
        </w:rPr>
        <w:t xml:space="preserve"> no parece haber grandes diferencias entre la liberación desde los dos sólidos con una carga, en cambio con un mayor número de cargas se observa un comportamiento más lineal en el sólido SBA15 que </w:t>
      </w:r>
      <w:r w:rsidRPr="0051088D">
        <w:rPr>
          <w:lang w:val="es-ES"/>
        </w:rPr>
        <w:lastRenderedPageBreak/>
        <w:t xml:space="preserve">podría deberse a una mayor capacidad para alojar este compuesto o a una menor capacidad de retención del mismo. </w:t>
      </w:r>
    </w:p>
    <w:p w:rsidR="003A1852" w:rsidRDefault="003A1852" w:rsidP="00234195">
      <w:pPr>
        <w:spacing w:after="0" w:line="240" w:lineRule="auto"/>
        <w:rPr>
          <w:lang w:val="es-ES"/>
        </w:rPr>
      </w:pPr>
      <w:r w:rsidRPr="0051088D">
        <w:rPr>
          <w:lang w:val="es-ES"/>
        </w:rPr>
        <w:t>Por este motivo</w:t>
      </w:r>
      <w:r w:rsidR="00342441">
        <w:rPr>
          <w:lang w:val="es-ES"/>
        </w:rPr>
        <w:t>, el sólido SBA-15</w:t>
      </w:r>
      <w:r w:rsidRPr="0051088D">
        <w:rPr>
          <w:lang w:val="es-ES"/>
        </w:rPr>
        <w:t xml:space="preserve"> fue elegido para los ensayos posteriores.</w:t>
      </w:r>
    </w:p>
    <w:p w:rsidR="000A6004" w:rsidRPr="0051088D" w:rsidRDefault="000A6004" w:rsidP="00234195">
      <w:pPr>
        <w:spacing w:after="0" w:line="240" w:lineRule="auto"/>
        <w:rPr>
          <w:lang w:val="es-ES"/>
        </w:rPr>
      </w:pPr>
    </w:p>
    <w:p w:rsidR="00577632" w:rsidRDefault="00EC386F" w:rsidP="00342441">
      <w:pPr>
        <w:pStyle w:val="Heading2"/>
      </w:pPr>
      <w:bookmarkStart w:id="57" w:name="_Toc429397069"/>
      <w:r w:rsidRPr="00A80923">
        <w:t>Propuesta para controlar la liberación</w:t>
      </w:r>
      <w:bookmarkEnd w:id="57"/>
    </w:p>
    <w:p w:rsidR="008F07D2" w:rsidRDefault="008F07D2" w:rsidP="00234195">
      <w:pPr>
        <w:spacing w:after="0" w:line="240" w:lineRule="auto"/>
        <w:rPr>
          <w:lang w:val="es-ES"/>
        </w:rPr>
      </w:pPr>
      <w:r>
        <w:rPr>
          <w:lang w:val="es-ES"/>
        </w:rPr>
        <w:t xml:space="preserve">En función del sistema de liberación </w:t>
      </w:r>
      <w:r w:rsidR="008352B1">
        <w:rPr>
          <w:lang w:val="es-ES"/>
        </w:rPr>
        <w:t>controlada descrito previamente,</w:t>
      </w:r>
      <w:r>
        <w:rPr>
          <w:lang w:val="es-ES"/>
        </w:rPr>
        <w:t xml:space="preserve"> con puerta </w:t>
      </w:r>
      <w:r w:rsidR="00EA7A41">
        <w:rPr>
          <w:lang w:val="es-ES"/>
        </w:rPr>
        <w:t xml:space="preserve">de </w:t>
      </w:r>
      <w:r>
        <w:rPr>
          <w:lang w:val="es-ES"/>
        </w:rPr>
        <w:t>aminas</w:t>
      </w:r>
      <w:r w:rsidR="00025BEC">
        <w:rPr>
          <w:lang w:val="es-ES"/>
        </w:rPr>
        <w:t xml:space="preserve"> (N3)</w:t>
      </w:r>
      <w:r>
        <w:rPr>
          <w:lang w:val="es-ES"/>
        </w:rPr>
        <w:t xml:space="preserve">, </w:t>
      </w:r>
      <w:r w:rsidR="00B84090">
        <w:rPr>
          <w:lang w:val="es-ES"/>
        </w:rPr>
        <w:t>se implementa este sistema para evaluar un posible sistema de control de la liberación del DADS. En este caso a pH ácido las aminas presentan</w:t>
      </w:r>
      <w:r w:rsidR="00EC386F">
        <w:rPr>
          <w:lang w:val="es-ES"/>
        </w:rPr>
        <w:t xml:space="preserve"> una conformación </w:t>
      </w:r>
      <w:r w:rsidR="00B84090">
        <w:rPr>
          <w:lang w:val="es-ES"/>
        </w:rPr>
        <w:t>“</w:t>
      </w:r>
      <w:r w:rsidR="00EC386F">
        <w:rPr>
          <w:lang w:val="es-ES"/>
        </w:rPr>
        <w:t>cerrada</w:t>
      </w:r>
      <w:r w:rsidR="00B84090">
        <w:rPr>
          <w:lang w:val="es-ES"/>
        </w:rPr>
        <w:t xml:space="preserve">” por repulsión de las moléculas en el medio, lo que impide </w:t>
      </w:r>
      <w:r w:rsidR="00EC386F">
        <w:rPr>
          <w:lang w:val="es-ES"/>
        </w:rPr>
        <w:t xml:space="preserve">la salida del </w:t>
      </w:r>
      <w:r w:rsidR="00B84090">
        <w:rPr>
          <w:lang w:val="es-ES"/>
        </w:rPr>
        <w:t>compuesto</w:t>
      </w:r>
      <w:r>
        <w:rPr>
          <w:lang w:val="es-ES"/>
        </w:rPr>
        <w:t>.</w:t>
      </w:r>
    </w:p>
    <w:p w:rsidR="006521C6" w:rsidRDefault="00B84090" w:rsidP="00234195">
      <w:pPr>
        <w:spacing w:after="0" w:line="240" w:lineRule="auto"/>
        <w:rPr>
          <w:lang w:val="es-ES"/>
        </w:rPr>
      </w:pPr>
      <w:r>
        <w:rPr>
          <w:lang w:val="es-ES"/>
        </w:rPr>
        <w:t>L</w:t>
      </w:r>
      <w:r w:rsidR="008F07D2">
        <w:rPr>
          <w:lang w:val="es-ES"/>
        </w:rPr>
        <w:t>os estudios de liberación</w:t>
      </w:r>
      <w:r w:rsidR="00EC386F">
        <w:rPr>
          <w:lang w:val="es-ES"/>
        </w:rPr>
        <w:t xml:space="preserve"> a pH</w:t>
      </w:r>
      <w:r>
        <w:rPr>
          <w:lang w:val="es-ES"/>
        </w:rPr>
        <w:t xml:space="preserve"> 7.0</w:t>
      </w:r>
      <w:r w:rsidR="008F07D2">
        <w:rPr>
          <w:lang w:val="es-ES"/>
        </w:rPr>
        <w:t>,</w:t>
      </w:r>
      <w:r>
        <w:rPr>
          <w:lang w:val="es-ES"/>
        </w:rPr>
        <w:t xml:space="preserve"> que permitían evaluar la cantidad de compuesto liberado</w:t>
      </w:r>
      <w:r w:rsidR="006521C6">
        <w:rPr>
          <w:lang w:val="es-ES"/>
        </w:rPr>
        <w:t>,</w:t>
      </w:r>
      <w:r>
        <w:rPr>
          <w:lang w:val="es-ES"/>
        </w:rPr>
        <w:t xml:space="preserve"> present</w:t>
      </w:r>
      <w:r w:rsidR="008352B1">
        <w:rPr>
          <w:lang w:val="es-ES"/>
        </w:rPr>
        <w:t>aron</w:t>
      </w:r>
      <w:r>
        <w:rPr>
          <w:lang w:val="es-ES"/>
        </w:rPr>
        <w:t xml:space="preserve"> inconvenientes de cuantificación debido a</w:t>
      </w:r>
      <w:r w:rsidR="00EC386F">
        <w:rPr>
          <w:lang w:val="es-ES"/>
        </w:rPr>
        <w:t xml:space="preserve"> </w:t>
      </w:r>
      <w:r w:rsidR="008F07D2">
        <w:rPr>
          <w:lang w:val="es-ES"/>
        </w:rPr>
        <w:t>l</w:t>
      </w:r>
      <w:r w:rsidR="00EC386F">
        <w:rPr>
          <w:lang w:val="es-ES"/>
        </w:rPr>
        <w:t xml:space="preserve">a </w:t>
      </w:r>
      <w:r>
        <w:rPr>
          <w:lang w:val="es-ES"/>
        </w:rPr>
        <w:t xml:space="preserve">elevada hidrofobicidad del DADS, que generó en </w:t>
      </w:r>
      <w:r w:rsidR="004F03A1">
        <w:rPr>
          <w:lang w:val="es-ES"/>
        </w:rPr>
        <w:t xml:space="preserve">la señal detectada </w:t>
      </w:r>
      <w:r>
        <w:rPr>
          <w:lang w:val="es-ES"/>
        </w:rPr>
        <w:t>ruido y “picos fantasma” que dificultaron el cálculo de las áreas</w:t>
      </w:r>
      <w:r w:rsidR="00EC386F">
        <w:rPr>
          <w:lang w:val="es-ES"/>
        </w:rPr>
        <w:t xml:space="preserve">. </w:t>
      </w:r>
      <w:r w:rsidR="00025BEC">
        <w:rPr>
          <w:lang w:val="es-ES"/>
        </w:rPr>
        <w:t>Para resolver este inconveniente s</w:t>
      </w:r>
      <w:r w:rsidR="00EC386F">
        <w:rPr>
          <w:lang w:val="es-ES"/>
        </w:rPr>
        <w:t xml:space="preserve">e </w:t>
      </w:r>
      <w:r w:rsidR="008F07D2">
        <w:rPr>
          <w:lang w:val="es-ES"/>
        </w:rPr>
        <w:t>propusieron diversos a</w:t>
      </w:r>
      <w:r w:rsidR="00EC386F">
        <w:rPr>
          <w:lang w:val="es-ES"/>
        </w:rPr>
        <w:t>justes</w:t>
      </w:r>
      <w:r w:rsidR="008F07D2">
        <w:rPr>
          <w:lang w:val="es-ES"/>
        </w:rPr>
        <w:t xml:space="preserve"> </w:t>
      </w:r>
      <w:r w:rsidR="00EA7A41">
        <w:rPr>
          <w:lang w:val="es-ES"/>
        </w:rPr>
        <w:t>con el objeto de</w:t>
      </w:r>
      <w:r w:rsidR="008F07D2">
        <w:rPr>
          <w:lang w:val="es-ES"/>
        </w:rPr>
        <w:t xml:space="preserve"> modificar la solubilidad de las muestras</w:t>
      </w:r>
      <w:r>
        <w:rPr>
          <w:lang w:val="es-ES"/>
        </w:rPr>
        <w:t xml:space="preserve">. </w:t>
      </w:r>
    </w:p>
    <w:p w:rsidR="006521C6" w:rsidRDefault="00B84090" w:rsidP="00234195">
      <w:pPr>
        <w:spacing w:after="0" w:line="240" w:lineRule="auto"/>
        <w:rPr>
          <w:lang w:val="es-ES"/>
        </w:rPr>
      </w:pPr>
      <w:r>
        <w:rPr>
          <w:lang w:val="es-ES"/>
        </w:rPr>
        <w:t>Est</w:t>
      </w:r>
      <w:r w:rsidR="006521C6">
        <w:rPr>
          <w:lang w:val="es-ES"/>
        </w:rPr>
        <w:t>os ajustes</w:t>
      </w:r>
      <w:r w:rsidR="00EC386F">
        <w:rPr>
          <w:lang w:val="es-ES"/>
        </w:rPr>
        <w:t xml:space="preserve"> </w:t>
      </w:r>
      <w:r w:rsidR="008F07D2">
        <w:rPr>
          <w:lang w:val="es-ES"/>
        </w:rPr>
        <w:t>permiti</w:t>
      </w:r>
      <w:r w:rsidR="006521C6">
        <w:rPr>
          <w:lang w:val="es-ES"/>
        </w:rPr>
        <w:t>eron</w:t>
      </w:r>
      <w:r w:rsidR="00EC386F">
        <w:rPr>
          <w:lang w:val="es-ES"/>
        </w:rPr>
        <w:t xml:space="preserve"> observ</w:t>
      </w:r>
      <w:r w:rsidR="008F07D2">
        <w:rPr>
          <w:lang w:val="es-ES"/>
        </w:rPr>
        <w:t>ar</w:t>
      </w:r>
      <w:r w:rsidR="00EC386F">
        <w:rPr>
          <w:lang w:val="es-ES"/>
        </w:rPr>
        <w:t xml:space="preserve"> una mayor retención del compuesto a pH ácido</w:t>
      </w:r>
      <w:r w:rsidR="006521C6">
        <w:rPr>
          <w:lang w:val="es-ES"/>
        </w:rPr>
        <w:t xml:space="preserve"> (baja cuantificación de DADS en la solución)</w:t>
      </w:r>
      <w:r w:rsidR="00EC386F">
        <w:rPr>
          <w:lang w:val="es-ES"/>
        </w:rPr>
        <w:t xml:space="preserve"> y </w:t>
      </w:r>
      <w:r w:rsidR="006521C6">
        <w:rPr>
          <w:lang w:val="es-ES"/>
        </w:rPr>
        <w:t xml:space="preserve">a pH neutro, </w:t>
      </w:r>
      <w:r w:rsidR="00EC386F">
        <w:rPr>
          <w:lang w:val="es-ES"/>
        </w:rPr>
        <w:t xml:space="preserve">una liberación similar a la del sólido cargado sin puerta. </w:t>
      </w:r>
      <w:r w:rsidR="00025BEC">
        <w:rPr>
          <w:lang w:val="es-ES"/>
        </w:rPr>
        <w:t>Esto</w:t>
      </w:r>
      <w:r w:rsidR="006521C6">
        <w:rPr>
          <w:lang w:val="es-ES"/>
        </w:rPr>
        <w:t>s</w:t>
      </w:r>
      <w:r w:rsidR="00025BEC">
        <w:rPr>
          <w:lang w:val="es-ES"/>
        </w:rPr>
        <w:t xml:space="preserve"> </w:t>
      </w:r>
      <w:r w:rsidR="006521C6">
        <w:rPr>
          <w:lang w:val="es-ES"/>
        </w:rPr>
        <w:t xml:space="preserve">datos, </w:t>
      </w:r>
      <w:r w:rsidR="00025BEC">
        <w:rPr>
          <w:lang w:val="es-ES"/>
        </w:rPr>
        <w:t>sumado</w:t>
      </w:r>
      <w:r w:rsidR="006521C6">
        <w:rPr>
          <w:lang w:val="es-ES"/>
        </w:rPr>
        <w:t>s</w:t>
      </w:r>
      <w:r w:rsidR="00025BEC">
        <w:rPr>
          <w:lang w:val="es-ES"/>
        </w:rPr>
        <w:t xml:space="preserve"> a la confirmación de la presencia de la puerta, según los datos obtenidos mediante TG, </w:t>
      </w:r>
      <w:r w:rsidR="006521C6">
        <w:rPr>
          <w:lang w:val="es-ES"/>
        </w:rPr>
        <w:t>indicarían</w:t>
      </w:r>
      <w:r w:rsidR="00025BEC">
        <w:rPr>
          <w:lang w:val="es-ES"/>
        </w:rPr>
        <w:t xml:space="preserve"> que la puerta molecular</w:t>
      </w:r>
      <w:r w:rsidR="006521C6">
        <w:rPr>
          <w:lang w:val="es-ES"/>
        </w:rPr>
        <w:t xml:space="preserve"> no sólo está presente, sino que</w:t>
      </w:r>
      <w:r w:rsidR="00EC386F">
        <w:rPr>
          <w:lang w:val="es-ES"/>
        </w:rPr>
        <w:t xml:space="preserve"> funciona</w:t>
      </w:r>
      <w:r w:rsidR="006521C6">
        <w:rPr>
          <w:lang w:val="es-ES"/>
        </w:rPr>
        <w:t xml:space="preserve"> según lo esperado, permitiendo la liberación del compuesto a un pH determinado (7.0) y la retención del mismo a otro pH (2.0)</w:t>
      </w:r>
      <w:r w:rsidR="00025BEC">
        <w:rPr>
          <w:lang w:val="es-ES"/>
        </w:rPr>
        <w:t xml:space="preserve">. </w:t>
      </w:r>
    </w:p>
    <w:p w:rsidR="00025BEC" w:rsidRDefault="008F07D2" w:rsidP="00234195">
      <w:pPr>
        <w:spacing w:after="0" w:line="240" w:lineRule="auto"/>
        <w:rPr>
          <w:lang w:val="es-ES"/>
        </w:rPr>
      </w:pPr>
      <w:r>
        <w:rPr>
          <w:lang w:val="es-ES"/>
        </w:rPr>
        <w:t>No obstante</w:t>
      </w:r>
      <w:r w:rsidR="006521C6">
        <w:rPr>
          <w:lang w:val="es-ES"/>
        </w:rPr>
        <w:t xml:space="preserve">, no se tuvo una adecuada repetitividad de </w:t>
      </w:r>
      <w:r>
        <w:rPr>
          <w:lang w:val="es-ES"/>
        </w:rPr>
        <w:t>estos resultados</w:t>
      </w:r>
      <w:r w:rsidR="006521C6">
        <w:rPr>
          <w:lang w:val="es-ES"/>
        </w:rPr>
        <w:t>, de modo que e</w:t>
      </w:r>
      <w:r w:rsidR="00025BEC">
        <w:rPr>
          <w:lang w:val="es-ES"/>
        </w:rPr>
        <w:t xml:space="preserve">s necesario profundizar en el estudio de la liberación </w:t>
      </w:r>
      <w:r w:rsidR="006521C6">
        <w:rPr>
          <w:lang w:val="es-ES"/>
        </w:rPr>
        <w:t>con el uso de puertas</w:t>
      </w:r>
      <w:r w:rsidR="00025BEC">
        <w:rPr>
          <w:lang w:val="es-ES"/>
        </w:rPr>
        <w:t xml:space="preserve"> para l</w:t>
      </w:r>
      <w:r w:rsidR="006521C6">
        <w:rPr>
          <w:lang w:val="es-ES"/>
        </w:rPr>
        <w:t>legar a resultados concluyentes. Además</w:t>
      </w:r>
      <w:r w:rsidR="008352B1">
        <w:rPr>
          <w:lang w:val="es-ES"/>
        </w:rPr>
        <w:t>,</w:t>
      </w:r>
      <w:r w:rsidR="006521C6">
        <w:rPr>
          <w:lang w:val="es-ES"/>
        </w:rPr>
        <w:t xml:space="preserve"> debe incluirse una evaluación de la cinética de liberación para comprobar que el sistema efectivamente ejerce una liberación controlada a lo largo del tiempo.</w:t>
      </w:r>
    </w:p>
    <w:p w:rsidR="00577632" w:rsidRDefault="00577632" w:rsidP="00234195">
      <w:pPr>
        <w:spacing w:after="0" w:line="240" w:lineRule="auto"/>
        <w:rPr>
          <w:lang w:val="es-ES"/>
        </w:rPr>
      </w:pPr>
    </w:p>
    <w:p w:rsidR="00EC386F" w:rsidRPr="00A80923" w:rsidRDefault="00EC386F" w:rsidP="00234195">
      <w:pPr>
        <w:pStyle w:val="Heading2"/>
        <w:spacing w:line="240" w:lineRule="auto"/>
        <w:rPr>
          <w:i/>
        </w:rPr>
      </w:pPr>
      <w:bookmarkStart w:id="58" w:name="_Toc429397070"/>
      <w:r w:rsidRPr="00A80923">
        <w:t>Evaluación del potencial antimicrobiano del DADS libre y DADS encapsulado</w:t>
      </w:r>
      <w:bookmarkEnd w:id="58"/>
    </w:p>
    <w:p w:rsidR="00577632" w:rsidRPr="00911864" w:rsidRDefault="00577632" w:rsidP="00234195">
      <w:pPr>
        <w:spacing w:after="0" w:line="240" w:lineRule="auto"/>
        <w:rPr>
          <w:color w:val="FF0000"/>
          <w:lang w:val="es-ES"/>
        </w:rPr>
      </w:pPr>
    </w:p>
    <w:p w:rsidR="001D28B4" w:rsidRDefault="00303A33" w:rsidP="00D158D2">
      <w:pPr>
        <w:spacing w:after="0" w:line="240" w:lineRule="auto"/>
        <w:ind w:firstLine="360"/>
        <w:rPr>
          <w:lang w:val="es-ES"/>
        </w:rPr>
      </w:pPr>
      <w:r w:rsidRPr="00D158D2">
        <w:rPr>
          <w:lang w:val="es-ES"/>
        </w:rPr>
        <w:t>Con el fin de determinar la concentración mínima inhibitoria (CMI), se evaluó un rango de concentraciones entre 0.25 y 5 mgml</w:t>
      </w:r>
      <w:r w:rsidRPr="00D158D2">
        <w:rPr>
          <w:vertAlign w:val="superscript"/>
          <w:lang w:val="es-ES"/>
        </w:rPr>
        <w:t>-1</w:t>
      </w:r>
      <w:r w:rsidRPr="00D158D2">
        <w:rPr>
          <w:lang w:val="es-ES"/>
        </w:rPr>
        <w:t xml:space="preserve"> de DADS, en el medio </w:t>
      </w:r>
      <w:r w:rsidR="00BE7D0B" w:rsidRPr="00D158D2">
        <w:rPr>
          <w:lang w:val="es-ES"/>
        </w:rPr>
        <w:t xml:space="preserve">de incubación de </w:t>
      </w:r>
      <w:r w:rsidR="00BE7D0B" w:rsidRPr="00D158D2">
        <w:rPr>
          <w:i/>
          <w:lang w:val="es-ES"/>
        </w:rPr>
        <w:t>E. coli</w:t>
      </w:r>
      <w:r w:rsidR="00BE7D0B" w:rsidRPr="00D158D2">
        <w:rPr>
          <w:lang w:val="es-ES"/>
        </w:rPr>
        <w:t xml:space="preserve">, </w:t>
      </w:r>
      <w:r w:rsidRPr="00D158D2">
        <w:rPr>
          <w:lang w:val="es-ES"/>
        </w:rPr>
        <w:t>TSB. Sin embargo no se encontraron diferencias significativas que demostraran la inhibición esperada. A raíz de estos resultados, se plantearon dos hipótesis</w:t>
      </w:r>
      <w:r w:rsidR="00780832" w:rsidRPr="00D158D2">
        <w:rPr>
          <w:lang w:val="es-ES"/>
        </w:rPr>
        <w:t xml:space="preserve">; </w:t>
      </w:r>
      <w:r w:rsidRPr="00D158D2">
        <w:rPr>
          <w:lang w:val="es-ES"/>
        </w:rPr>
        <w:t>por un lado se propuso la posibilidad de tener una cepa resistente</w:t>
      </w:r>
      <w:r w:rsidR="00780832" w:rsidRPr="00D158D2">
        <w:rPr>
          <w:lang w:val="es-ES"/>
        </w:rPr>
        <w:t xml:space="preserve"> al DADS</w:t>
      </w:r>
      <w:r w:rsidR="00BE7D0B" w:rsidRPr="00D158D2">
        <w:rPr>
          <w:lang w:val="es-ES"/>
        </w:rPr>
        <w:t>,</w:t>
      </w:r>
      <w:r w:rsidR="00780832" w:rsidRPr="00D158D2">
        <w:rPr>
          <w:lang w:val="es-ES"/>
        </w:rPr>
        <w:t xml:space="preserve"> y por otro lado,</w:t>
      </w:r>
      <w:r w:rsidRPr="00D158D2">
        <w:rPr>
          <w:lang w:val="es-ES"/>
        </w:rPr>
        <w:t xml:space="preserve"> </w:t>
      </w:r>
      <w:r w:rsidR="00780832" w:rsidRPr="00D158D2">
        <w:rPr>
          <w:lang w:val="es-ES"/>
        </w:rPr>
        <w:t>se</w:t>
      </w:r>
      <w:r w:rsidRPr="00D158D2">
        <w:rPr>
          <w:lang w:val="es-ES"/>
        </w:rPr>
        <w:t xml:space="preserve"> plante</w:t>
      </w:r>
      <w:r w:rsidR="00780832" w:rsidRPr="00D158D2">
        <w:rPr>
          <w:lang w:val="es-ES"/>
        </w:rPr>
        <w:t>ó</w:t>
      </w:r>
      <w:r w:rsidRPr="00D158D2">
        <w:rPr>
          <w:lang w:val="es-ES"/>
        </w:rPr>
        <w:t xml:space="preserve"> que el efecto inhibitorio del DADS se ve</w:t>
      </w:r>
      <w:r w:rsidR="00780832" w:rsidRPr="00D158D2">
        <w:rPr>
          <w:lang w:val="es-ES"/>
        </w:rPr>
        <w:t>ía</w:t>
      </w:r>
      <w:r w:rsidRPr="00D158D2">
        <w:rPr>
          <w:lang w:val="es-ES"/>
        </w:rPr>
        <w:t xml:space="preserve"> sesgado por </w:t>
      </w:r>
      <w:r w:rsidR="00780832" w:rsidRPr="00D158D2">
        <w:rPr>
          <w:lang w:val="es-ES"/>
        </w:rPr>
        <w:t>un</w:t>
      </w:r>
      <w:r w:rsidRPr="00D158D2">
        <w:rPr>
          <w:lang w:val="es-ES"/>
        </w:rPr>
        <w:t>a distribución heterogénea</w:t>
      </w:r>
      <w:r w:rsidR="00780832" w:rsidRPr="00D158D2">
        <w:rPr>
          <w:lang w:val="es-ES"/>
        </w:rPr>
        <w:t xml:space="preserve"> en el medio,</w:t>
      </w:r>
      <w:r w:rsidR="008352B1">
        <w:rPr>
          <w:lang w:val="es-ES"/>
        </w:rPr>
        <w:t xml:space="preserve"> dada</w:t>
      </w:r>
      <w:r w:rsidRPr="00D158D2">
        <w:rPr>
          <w:lang w:val="es-ES"/>
        </w:rPr>
        <w:t xml:space="preserve"> su baja miscibilidad en medios acuosos.</w:t>
      </w:r>
      <w:r>
        <w:rPr>
          <w:color w:val="FF0000"/>
          <w:lang w:val="es-ES"/>
        </w:rPr>
        <w:t xml:space="preserve"> </w:t>
      </w:r>
      <w:r w:rsidR="00780832" w:rsidRPr="00D158D2">
        <w:rPr>
          <w:lang w:val="es-ES"/>
        </w:rPr>
        <w:t xml:space="preserve">Basados en estas propuestas se realizó un ensayo </w:t>
      </w:r>
      <w:r w:rsidR="00033B4E" w:rsidRPr="00D158D2">
        <w:rPr>
          <w:lang w:val="es-ES"/>
        </w:rPr>
        <w:t>que evaluó</w:t>
      </w:r>
      <w:r w:rsidR="00780832" w:rsidRPr="00D158D2">
        <w:rPr>
          <w:lang w:val="es-ES"/>
        </w:rPr>
        <w:t xml:space="preserve"> elevadas cantidades de DADS y de DADS disuelto en DMSO al 1% (Se realizaron diferentes controles para cubrir todas las combinaciones posibles). </w:t>
      </w:r>
    </w:p>
    <w:p w:rsidR="00303A33" w:rsidRDefault="00780832" w:rsidP="00D158D2">
      <w:pPr>
        <w:spacing w:after="0" w:line="240" w:lineRule="auto"/>
        <w:ind w:firstLine="360"/>
        <w:rPr>
          <w:color w:val="0070C0"/>
          <w:lang w:val="es-ES"/>
        </w:rPr>
      </w:pPr>
      <w:r w:rsidRPr="00D158D2">
        <w:rPr>
          <w:lang w:val="es-ES"/>
        </w:rPr>
        <w:t xml:space="preserve">Este </w:t>
      </w:r>
      <w:r w:rsidR="00033B4E" w:rsidRPr="00D158D2">
        <w:rPr>
          <w:lang w:val="es-ES"/>
        </w:rPr>
        <w:t>ensayo mostró un claro efecto i</w:t>
      </w:r>
      <w:r w:rsidRPr="00D158D2">
        <w:rPr>
          <w:lang w:val="es-ES"/>
        </w:rPr>
        <w:t xml:space="preserve">nhibitorio, que </w:t>
      </w:r>
      <w:r w:rsidR="00033B4E" w:rsidRPr="00D158D2">
        <w:rPr>
          <w:lang w:val="es-ES"/>
        </w:rPr>
        <w:t>está acorde con</w:t>
      </w:r>
      <w:r w:rsidRPr="00D158D2">
        <w:rPr>
          <w:lang w:val="es-ES"/>
        </w:rPr>
        <w:t xml:space="preserve"> lo mencionado anteriormente</w:t>
      </w:r>
      <w:r w:rsidR="00033B4E" w:rsidRPr="00D158D2">
        <w:rPr>
          <w:lang w:val="es-ES"/>
        </w:rPr>
        <w:t>,</w:t>
      </w:r>
      <w:r w:rsidRPr="00D158D2">
        <w:rPr>
          <w:lang w:val="es-ES"/>
        </w:rPr>
        <w:t xml:space="preserve"> respecto al mecanismo de inhibición de los compuestos sulfurados sobre este tipo de bacterias. </w:t>
      </w:r>
      <w:r w:rsidR="00033B4E" w:rsidRPr="00D158D2">
        <w:rPr>
          <w:lang w:val="es-ES"/>
        </w:rPr>
        <w:t xml:space="preserve">Si bien es cierto que se presenció inhibición en todas las pruebas hechas, </w:t>
      </w:r>
      <w:r w:rsidRPr="00D158D2">
        <w:rPr>
          <w:lang w:val="es-ES"/>
        </w:rPr>
        <w:t>la inhibición con DADS diluido</w:t>
      </w:r>
      <w:r w:rsidR="00033B4E" w:rsidRPr="00D158D2">
        <w:rPr>
          <w:lang w:val="es-ES"/>
        </w:rPr>
        <w:t xml:space="preserve"> en DMSO</w:t>
      </w:r>
      <w:r w:rsidRPr="00D158D2">
        <w:rPr>
          <w:lang w:val="es-ES"/>
        </w:rPr>
        <w:t xml:space="preserve"> era</w:t>
      </w:r>
      <w:r w:rsidR="00BE7D0B" w:rsidRPr="00D158D2">
        <w:rPr>
          <w:lang w:val="es-ES"/>
        </w:rPr>
        <w:t xml:space="preserve"> la más</w:t>
      </w:r>
      <w:r w:rsidRPr="00D158D2">
        <w:rPr>
          <w:lang w:val="es-ES"/>
        </w:rPr>
        <w:t xml:space="preserve"> homogénea y contundente</w:t>
      </w:r>
      <w:r w:rsidR="00033B4E" w:rsidRPr="00D158D2">
        <w:rPr>
          <w:lang w:val="es-ES"/>
        </w:rPr>
        <w:t>.</w:t>
      </w:r>
      <w:r w:rsidR="00033B4E">
        <w:rPr>
          <w:color w:val="0070C0"/>
          <w:lang w:val="es-ES"/>
        </w:rPr>
        <w:t xml:space="preserve"> </w:t>
      </w:r>
    </w:p>
    <w:p w:rsidR="003A3A25" w:rsidRDefault="00B0405B" w:rsidP="00B0405B">
      <w:pPr>
        <w:spacing w:after="0" w:line="240" w:lineRule="auto"/>
        <w:rPr>
          <w:lang w:val="es-ES"/>
        </w:rPr>
      </w:pPr>
      <w:r w:rsidRPr="00D158D2">
        <w:rPr>
          <w:lang w:val="es-ES"/>
        </w:rPr>
        <w:lastRenderedPageBreak/>
        <w:t>A partir de este punto se evaluó un ampli</w:t>
      </w:r>
      <w:r w:rsidR="001D28B4">
        <w:rPr>
          <w:lang w:val="es-ES"/>
        </w:rPr>
        <w:t>o rango de tres concentraciones. L</w:t>
      </w:r>
      <w:r w:rsidR="00337947" w:rsidRPr="00D158D2">
        <w:rPr>
          <w:lang w:val="es-ES"/>
        </w:rPr>
        <w:t xml:space="preserve">a </w:t>
      </w:r>
      <w:r w:rsidR="001D28B4">
        <w:rPr>
          <w:lang w:val="es-ES"/>
        </w:rPr>
        <w:t>T</w:t>
      </w:r>
      <w:r w:rsidR="000A4069">
        <w:rPr>
          <w:lang w:val="es-ES"/>
        </w:rPr>
        <w:t>abla</w:t>
      </w:r>
      <w:r w:rsidR="00337947" w:rsidRPr="00D158D2">
        <w:rPr>
          <w:lang w:val="es-ES"/>
        </w:rPr>
        <w:t xml:space="preserve"> </w:t>
      </w:r>
      <w:r w:rsidR="000A4069">
        <w:rPr>
          <w:lang w:val="es-ES"/>
        </w:rPr>
        <w:t>3</w:t>
      </w:r>
      <w:r w:rsidR="00337947" w:rsidRPr="00D158D2">
        <w:rPr>
          <w:lang w:val="es-ES"/>
        </w:rPr>
        <w:t xml:space="preserve"> muestra que con concentraciones pequeñas de</w:t>
      </w:r>
      <w:r w:rsidRPr="00D158D2">
        <w:rPr>
          <w:lang w:val="es-ES"/>
        </w:rPr>
        <w:t xml:space="preserve"> 5mg/ml, </w:t>
      </w:r>
      <w:r w:rsidR="00BE7D0B" w:rsidRPr="00D158D2">
        <w:rPr>
          <w:lang w:val="es-ES"/>
        </w:rPr>
        <w:t xml:space="preserve">no se presentó ningún </w:t>
      </w:r>
      <w:r w:rsidR="00337947" w:rsidRPr="00D158D2">
        <w:rPr>
          <w:lang w:val="es-ES"/>
        </w:rPr>
        <w:t>efecto inhibitorio contundente</w:t>
      </w:r>
      <w:r w:rsidRPr="00D158D2">
        <w:rPr>
          <w:lang w:val="es-ES"/>
        </w:rPr>
        <w:t xml:space="preserve">, mientras que por encima de la concentración de 50mg/ml </w:t>
      </w:r>
      <w:r w:rsidR="00AB6B42">
        <w:rPr>
          <w:lang w:val="es-ES"/>
        </w:rPr>
        <w:t>se obtuvo</w:t>
      </w:r>
      <w:r w:rsidR="00337947" w:rsidRPr="00D158D2">
        <w:rPr>
          <w:lang w:val="es-ES"/>
        </w:rPr>
        <w:t xml:space="preserve"> un</w:t>
      </w:r>
      <w:r w:rsidRPr="00D158D2">
        <w:rPr>
          <w:lang w:val="es-ES"/>
        </w:rPr>
        <w:t xml:space="preserve">a inhibición significativa. </w:t>
      </w:r>
    </w:p>
    <w:p w:rsidR="000A4069" w:rsidRDefault="003A3A25" w:rsidP="00B0405B">
      <w:pPr>
        <w:spacing w:after="0" w:line="240" w:lineRule="auto"/>
        <w:rPr>
          <w:lang w:val="es-ES"/>
        </w:rPr>
      </w:pPr>
      <w:r>
        <w:rPr>
          <w:lang w:val="es-ES"/>
        </w:rPr>
        <w:t>No obstante</w:t>
      </w:r>
      <w:r w:rsidR="008352B1">
        <w:rPr>
          <w:lang w:val="es-ES"/>
        </w:rPr>
        <w:t>,</w:t>
      </w:r>
      <w:r>
        <w:rPr>
          <w:lang w:val="es-ES"/>
        </w:rPr>
        <w:t xml:space="preserve"> este valor de 50 mg/ml, </w:t>
      </w:r>
      <w:r w:rsidRPr="00375713">
        <w:rPr>
          <w:rFonts w:cs="Arial"/>
          <w:szCs w:val="24"/>
          <w:lang w:val="es-ES"/>
        </w:rPr>
        <w:t xml:space="preserve">en comparación con lo descrito hasta ahora en esta área, </w:t>
      </w:r>
      <w:r w:rsidR="00FD4D1E">
        <w:rPr>
          <w:lang w:val="es-ES"/>
        </w:rPr>
        <w:t>es considerablemente alto</w:t>
      </w:r>
      <w:r>
        <w:rPr>
          <w:lang w:val="es-ES"/>
        </w:rPr>
        <w:t xml:space="preserve"> y</w:t>
      </w:r>
      <w:r w:rsidRPr="00375713">
        <w:rPr>
          <w:lang w:val="es-ES"/>
        </w:rPr>
        <w:t xml:space="preserve"> no presenta tanto poder inhibitorio como otros compuestos (</w:t>
      </w:r>
      <w:r w:rsidR="008352B1">
        <w:rPr>
          <w:lang w:val="es-ES"/>
        </w:rPr>
        <w:t xml:space="preserve">en </w:t>
      </w:r>
      <w:r w:rsidRPr="00375713">
        <w:rPr>
          <w:lang w:val="es-ES"/>
        </w:rPr>
        <w:t>mohos)</w:t>
      </w:r>
      <w:r w:rsidR="004545C6">
        <w:rPr>
          <w:lang w:val="es-ES"/>
        </w:rPr>
        <w:t xml:space="preserve"> </w:t>
      </w:r>
      <w:r w:rsidR="004545C6">
        <w:rPr>
          <w:lang w:val="es-ES"/>
        </w:rPr>
        <w:fldChar w:fldCharType="begin" w:fldLock="1"/>
      </w:r>
      <w:r w:rsidR="00C14BED">
        <w:rPr>
          <w:lang w:val="es-ES"/>
        </w:rPr>
        <w:instrText>ADDIN CSL_CITATION { "citationItems" : [ { "id" : "ITEM-1", "itemData" : { "DOI" : "10.1016/j.indcrop.2015.01.019", "ISSN" : "09266690", "author" : [ { "dropping-particle" : "", "family" : "Janatova", "given" : "Anezka", "non-dropping-particle" : "", "parse-names" : false, "suffix" : "" }, { "dropping-particle" : "", "family" : "Bernardos", "given" : "Andrea", "non-dropping-particle" : "", "parse-names" : false, "suffix" : "" }, { "dropping-particle" : "", "family" : "Smid", "given" : "Jakub", "non-dropping-particle" : "", "parse-names" : false, "suffix" : "" }, { "dropping-particle" : "", "family" : "Frankova", "given" : "Adela", "non-dropping-particle" : "", "parse-names" : false, "suffix" : "" }, { "dropping-particle" : "", "family" : "Lhotka", "given" : "Miloslav", "non-dropping-particle" : "", "parse-names" : false, "suffix" : "" }, { "dropping-particle" : "", "family" : "Kourimsk\u00e1", "given" : "Lenka", "non-dropping-particle" : "", "parse-names" : false, "suffix" : "" }, { "dropping-particle" : "", "family" : "Pulkrabek", "given" : "Josef", "non-dropping-particle" : "", "parse-names" : false, "suffix" : "" }, { "dropping-particle" : "", "family" : "Kloucek", "given" : "Pavel", "non-dropping-particle" : "", "parse-names" : false, "suffix" : "" } ], "container-title" : "Industrial Crops and Products", "id" : "ITEM-1", "issued" : { "date-parts" : [ [ "2015" ] ] }, "page" : "216-220", "publisher" : "Elsevier B.V.", "title" : "Long-term antifungal activity of volatile essential oil components released from mesoporous silica materials", "type" : "article-journal", "volume" : "67" }, "uris" : [ "http://www.mendeley.com/documents/?uuid=e3250c7d-9212-432e-9f72-6497f64d3636" ] } ], "mendeley" : { "formattedCitation" : "(Janatova et al. 2015)", "plainTextFormattedCitation" : "(Janatova et al. 2015)", "previouslyFormattedCitation" : "(Janatova et al. 2015)" }, "properties" : { "noteIndex" : 0 }, "schema" : "https://github.com/citation-style-language/schema/raw/master/csl-citation.json" }</w:instrText>
      </w:r>
      <w:r w:rsidR="004545C6">
        <w:rPr>
          <w:lang w:val="es-ES"/>
        </w:rPr>
        <w:fldChar w:fldCharType="separate"/>
      </w:r>
      <w:r w:rsidR="004545C6" w:rsidRPr="004545C6">
        <w:rPr>
          <w:noProof/>
          <w:lang w:val="es-ES"/>
        </w:rPr>
        <w:t>(Janatova et al. 2015)</w:t>
      </w:r>
      <w:r w:rsidR="004545C6">
        <w:rPr>
          <w:lang w:val="es-ES"/>
        </w:rPr>
        <w:fldChar w:fldCharType="end"/>
      </w:r>
      <w:r w:rsidR="004545C6">
        <w:rPr>
          <w:lang w:val="es-ES"/>
        </w:rPr>
        <w:t>.</w:t>
      </w:r>
      <w:r w:rsidR="00FD4D1E">
        <w:rPr>
          <w:lang w:val="es-ES"/>
        </w:rPr>
        <w:t xml:space="preserve"> </w:t>
      </w:r>
      <w:r w:rsidR="00AB6B42">
        <w:rPr>
          <w:lang w:val="es-ES"/>
        </w:rPr>
        <w:br/>
        <w:t>E</w:t>
      </w:r>
      <w:r w:rsidR="00FD4D1E">
        <w:rPr>
          <w:lang w:val="es-ES"/>
        </w:rPr>
        <w:t>s necesario ampliar el estudio del DADS libre para identificar la CMI.</w:t>
      </w:r>
    </w:p>
    <w:p w:rsidR="003A3A25" w:rsidRDefault="003A3A25" w:rsidP="00B0405B">
      <w:pPr>
        <w:spacing w:after="0" w:line="240" w:lineRule="auto"/>
        <w:rPr>
          <w:lang w:val="es-ES"/>
        </w:rPr>
      </w:pPr>
    </w:p>
    <w:p w:rsidR="000A4069" w:rsidRDefault="000A4069" w:rsidP="000A4069">
      <w:pPr>
        <w:pStyle w:val="Caption"/>
        <w:keepNext/>
        <w:spacing w:after="0"/>
        <w:ind w:firstLine="0"/>
        <w:jc w:val="center"/>
        <w:rPr>
          <w:b w:val="0"/>
          <w:color w:val="auto"/>
          <w:sz w:val="22"/>
          <w:szCs w:val="22"/>
          <w:lang w:val="es-ES"/>
        </w:rPr>
      </w:pPr>
      <w:r w:rsidRPr="00266A25">
        <w:rPr>
          <w:color w:val="auto"/>
          <w:sz w:val="22"/>
          <w:szCs w:val="22"/>
          <w:lang w:val="es-ES"/>
        </w:rPr>
        <w:t>Tabla 3.</w:t>
      </w:r>
      <w:r w:rsidRPr="00300851">
        <w:rPr>
          <w:color w:val="auto"/>
          <w:sz w:val="22"/>
          <w:szCs w:val="22"/>
          <w:lang w:val="es-ES"/>
        </w:rPr>
        <w:t xml:space="preserve"> </w:t>
      </w:r>
      <w:r w:rsidR="0058456F">
        <w:rPr>
          <w:b w:val="0"/>
          <w:color w:val="auto"/>
          <w:sz w:val="22"/>
          <w:szCs w:val="22"/>
          <w:lang w:val="es-ES"/>
        </w:rPr>
        <w:t xml:space="preserve">Recuento </w:t>
      </w:r>
      <w:r w:rsidR="0058456F" w:rsidRPr="0058456F">
        <w:rPr>
          <w:b w:val="0"/>
          <w:i/>
          <w:color w:val="auto"/>
          <w:sz w:val="22"/>
          <w:szCs w:val="22"/>
          <w:lang w:val="es-ES"/>
        </w:rPr>
        <w:t>E. Coli</w:t>
      </w:r>
      <w:r w:rsidR="0058456F">
        <w:rPr>
          <w:b w:val="0"/>
          <w:i/>
          <w:color w:val="auto"/>
          <w:sz w:val="22"/>
          <w:szCs w:val="22"/>
          <w:lang w:val="es-ES"/>
        </w:rPr>
        <w:t>,</w:t>
      </w:r>
      <w:r w:rsidR="0058456F">
        <w:rPr>
          <w:b w:val="0"/>
          <w:color w:val="auto"/>
          <w:sz w:val="22"/>
          <w:szCs w:val="22"/>
          <w:lang w:val="es-ES"/>
        </w:rPr>
        <w:t xml:space="preserve"> expuesto a</w:t>
      </w:r>
      <w:r w:rsidRPr="000A4069">
        <w:rPr>
          <w:b w:val="0"/>
          <w:color w:val="auto"/>
          <w:sz w:val="22"/>
          <w:szCs w:val="22"/>
          <w:lang w:val="es-ES"/>
        </w:rPr>
        <w:t xml:space="preserve"> </w:t>
      </w:r>
      <w:r w:rsidR="00266A25">
        <w:rPr>
          <w:b w:val="0"/>
          <w:color w:val="auto"/>
          <w:sz w:val="22"/>
          <w:szCs w:val="22"/>
          <w:lang w:val="es-ES"/>
        </w:rPr>
        <w:t>diferentes concentraciones</w:t>
      </w:r>
      <w:r w:rsidR="0058456F">
        <w:rPr>
          <w:b w:val="0"/>
          <w:color w:val="auto"/>
          <w:sz w:val="22"/>
          <w:szCs w:val="22"/>
          <w:lang w:val="es-ES"/>
        </w:rPr>
        <w:t xml:space="preserve"> de DADS</w:t>
      </w:r>
    </w:p>
    <w:tbl>
      <w:tblPr>
        <w:tblStyle w:val="TableGrid"/>
        <w:tblW w:w="0" w:type="auto"/>
        <w:jc w:val="center"/>
        <w:tblLook w:val="04A0" w:firstRow="1" w:lastRow="0" w:firstColumn="1" w:lastColumn="0" w:noHBand="0" w:noVBand="1"/>
      </w:tblPr>
      <w:tblGrid>
        <w:gridCol w:w="2317"/>
        <w:gridCol w:w="2244"/>
      </w:tblGrid>
      <w:tr w:rsidR="00AB6B42" w:rsidTr="00FF276F">
        <w:trPr>
          <w:jc w:val="center"/>
        </w:trPr>
        <w:tc>
          <w:tcPr>
            <w:tcW w:w="2317" w:type="dxa"/>
          </w:tcPr>
          <w:p w:rsidR="00AB6B42" w:rsidRPr="00FF276F" w:rsidRDefault="00AB6B42" w:rsidP="00FF276F">
            <w:pPr>
              <w:ind w:firstLine="0"/>
              <w:jc w:val="center"/>
              <w:rPr>
                <w:b/>
              </w:rPr>
            </w:pPr>
            <w:r w:rsidRPr="00FF276F">
              <w:rPr>
                <w:b/>
              </w:rPr>
              <w:t>Concentración</w:t>
            </w:r>
            <w:r w:rsidR="00FF276F">
              <w:rPr>
                <w:b/>
              </w:rPr>
              <w:t xml:space="preserve"> </w:t>
            </w:r>
            <w:r w:rsidR="00FF276F" w:rsidRPr="00FF276F">
              <w:rPr>
                <w:b/>
              </w:rPr>
              <w:t>DADS (mg/mL)</w:t>
            </w:r>
          </w:p>
        </w:tc>
        <w:tc>
          <w:tcPr>
            <w:tcW w:w="2244" w:type="dxa"/>
            <w:vAlign w:val="center"/>
          </w:tcPr>
          <w:p w:rsidR="00AB6B42" w:rsidRDefault="00FF276F" w:rsidP="00FF276F">
            <w:pPr>
              <w:pStyle w:val="NoSpacing"/>
              <w:jc w:val="center"/>
            </w:pPr>
            <w:r>
              <w:rPr>
                <w:rFonts w:cs="Arial"/>
                <w:b/>
                <w:sz w:val="22"/>
                <w:szCs w:val="22"/>
                <w:lang w:val="es-ES"/>
              </w:rPr>
              <w:t>Log10 (</w:t>
            </w:r>
            <w:r w:rsidRPr="00266A25">
              <w:rPr>
                <w:rFonts w:cs="Arial"/>
                <w:b/>
                <w:sz w:val="22"/>
                <w:szCs w:val="22"/>
                <w:lang w:val="es-ES"/>
              </w:rPr>
              <w:t>ufc/mL</w:t>
            </w:r>
            <w:r>
              <w:rPr>
                <w:rFonts w:cs="Arial"/>
                <w:b/>
                <w:sz w:val="22"/>
                <w:szCs w:val="22"/>
                <w:lang w:val="es-ES"/>
              </w:rPr>
              <w:t>)</w:t>
            </w:r>
          </w:p>
        </w:tc>
      </w:tr>
      <w:tr w:rsidR="00AB6B42" w:rsidTr="00FF276F">
        <w:trPr>
          <w:jc w:val="center"/>
        </w:trPr>
        <w:tc>
          <w:tcPr>
            <w:tcW w:w="2317" w:type="dxa"/>
          </w:tcPr>
          <w:p w:rsidR="00AB6B42" w:rsidRPr="000177E4" w:rsidRDefault="00FF276F" w:rsidP="00FF276F">
            <w:pPr>
              <w:ind w:firstLine="0"/>
            </w:pPr>
            <w:r>
              <w:t>0</w:t>
            </w:r>
          </w:p>
        </w:tc>
        <w:tc>
          <w:tcPr>
            <w:tcW w:w="2244" w:type="dxa"/>
            <w:vAlign w:val="center"/>
          </w:tcPr>
          <w:p w:rsidR="00AB6B42" w:rsidRDefault="00FF276F" w:rsidP="00FF276F">
            <w:pPr>
              <w:pStyle w:val="NoSpacing"/>
              <w:jc w:val="center"/>
            </w:pPr>
            <w:r>
              <w:rPr>
                <w:rFonts w:cs="Arial"/>
                <w:color w:val="000000"/>
                <w:sz w:val="22"/>
                <w:szCs w:val="22"/>
                <w:lang w:val="es-ES"/>
              </w:rPr>
              <w:t>8.3 ± 0.0</w:t>
            </w:r>
          </w:p>
        </w:tc>
      </w:tr>
      <w:tr w:rsidR="00AB6B42" w:rsidTr="00FF276F">
        <w:trPr>
          <w:jc w:val="center"/>
        </w:trPr>
        <w:tc>
          <w:tcPr>
            <w:tcW w:w="2317" w:type="dxa"/>
          </w:tcPr>
          <w:p w:rsidR="00AB6B42" w:rsidRPr="000177E4" w:rsidRDefault="00FF276F" w:rsidP="00FF276F">
            <w:pPr>
              <w:ind w:firstLine="0"/>
            </w:pPr>
            <w:r>
              <w:t>0.2</w:t>
            </w:r>
          </w:p>
        </w:tc>
        <w:tc>
          <w:tcPr>
            <w:tcW w:w="2244" w:type="dxa"/>
            <w:vAlign w:val="center"/>
          </w:tcPr>
          <w:p w:rsidR="00AB6B42" w:rsidRDefault="00FF276F" w:rsidP="00FF276F">
            <w:pPr>
              <w:pStyle w:val="NoSpacing"/>
              <w:jc w:val="center"/>
            </w:pPr>
            <w:r>
              <w:rPr>
                <w:rFonts w:cs="Arial"/>
                <w:color w:val="000000"/>
                <w:sz w:val="22"/>
                <w:szCs w:val="22"/>
                <w:lang w:val="es-ES"/>
              </w:rPr>
              <w:t>8.3 ± 0.0</w:t>
            </w:r>
          </w:p>
        </w:tc>
      </w:tr>
      <w:tr w:rsidR="00AB6B42" w:rsidTr="00FF276F">
        <w:trPr>
          <w:jc w:val="center"/>
        </w:trPr>
        <w:tc>
          <w:tcPr>
            <w:tcW w:w="2317" w:type="dxa"/>
          </w:tcPr>
          <w:p w:rsidR="00AB6B42" w:rsidRPr="000177E4" w:rsidRDefault="00FF276F" w:rsidP="00FF276F">
            <w:pPr>
              <w:ind w:firstLine="0"/>
            </w:pPr>
            <w:r>
              <w:t>0.5</w:t>
            </w:r>
          </w:p>
        </w:tc>
        <w:tc>
          <w:tcPr>
            <w:tcW w:w="2244" w:type="dxa"/>
            <w:vAlign w:val="center"/>
          </w:tcPr>
          <w:p w:rsidR="00AB6B42" w:rsidRDefault="00FF276F" w:rsidP="00FF276F">
            <w:pPr>
              <w:pStyle w:val="NoSpacing"/>
              <w:jc w:val="center"/>
            </w:pPr>
            <w:r>
              <w:rPr>
                <w:rFonts w:cs="Arial"/>
                <w:color w:val="000000"/>
                <w:sz w:val="22"/>
                <w:szCs w:val="22"/>
                <w:lang w:val="es-ES"/>
              </w:rPr>
              <w:t>8.3 ± 0.0</w:t>
            </w:r>
          </w:p>
        </w:tc>
      </w:tr>
      <w:tr w:rsidR="00AB6B42" w:rsidTr="00FF276F">
        <w:trPr>
          <w:jc w:val="center"/>
        </w:trPr>
        <w:tc>
          <w:tcPr>
            <w:tcW w:w="2317" w:type="dxa"/>
          </w:tcPr>
          <w:p w:rsidR="00AB6B42" w:rsidRPr="000177E4" w:rsidRDefault="00FF276F" w:rsidP="00FF276F">
            <w:pPr>
              <w:ind w:firstLine="0"/>
            </w:pPr>
            <w:r>
              <w:t>2</w:t>
            </w:r>
          </w:p>
        </w:tc>
        <w:tc>
          <w:tcPr>
            <w:tcW w:w="2244" w:type="dxa"/>
            <w:vAlign w:val="center"/>
          </w:tcPr>
          <w:p w:rsidR="00AB6B42" w:rsidRDefault="00FF276F" w:rsidP="00FF276F">
            <w:pPr>
              <w:pStyle w:val="NoSpacing"/>
              <w:jc w:val="center"/>
            </w:pPr>
            <w:r>
              <w:rPr>
                <w:rFonts w:cs="Arial"/>
                <w:color w:val="000000"/>
                <w:sz w:val="22"/>
                <w:szCs w:val="22"/>
                <w:lang w:val="es-ES"/>
              </w:rPr>
              <w:t>8.1±0.04</w:t>
            </w:r>
          </w:p>
        </w:tc>
      </w:tr>
      <w:tr w:rsidR="00AB6B42" w:rsidTr="00FF276F">
        <w:trPr>
          <w:jc w:val="center"/>
        </w:trPr>
        <w:tc>
          <w:tcPr>
            <w:tcW w:w="2317" w:type="dxa"/>
          </w:tcPr>
          <w:p w:rsidR="00AB6B42" w:rsidRPr="000177E4" w:rsidRDefault="00FF276F" w:rsidP="00FF276F">
            <w:pPr>
              <w:ind w:firstLine="0"/>
            </w:pPr>
            <w:r>
              <w:t>4</w:t>
            </w:r>
          </w:p>
        </w:tc>
        <w:tc>
          <w:tcPr>
            <w:tcW w:w="2244" w:type="dxa"/>
            <w:vAlign w:val="center"/>
          </w:tcPr>
          <w:p w:rsidR="00AB6B42" w:rsidRDefault="00FF276F" w:rsidP="00FF276F">
            <w:pPr>
              <w:pStyle w:val="NoSpacing"/>
              <w:jc w:val="center"/>
            </w:pPr>
            <w:r>
              <w:rPr>
                <w:rFonts w:cs="Arial"/>
                <w:color w:val="000000"/>
                <w:sz w:val="22"/>
                <w:szCs w:val="22"/>
                <w:lang w:val="es-ES"/>
              </w:rPr>
              <w:t>8.2±0.18</w:t>
            </w:r>
          </w:p>
        </w:tc>
      </w:tr>
      <w:tr w:rsidR="00FF276F" w:rsidTr="00FF276F">
        <w:trPr>
          <w:jc w:val="center"/>
        </w:trPr>
        <w:tc>
          <w:tcPr>
            <w:tcW w:w="2317" w:type="dxa"/>
          </w:tcPr>
          <w:p w:rsidR="00FF276F" w:rsidRDefault="00FF276F" w:rsidP="00FF276F">
            <w:pPr>
              <w:ind w:firstLine="0"/>
            </w:pPr>
            <w:r>
              <w:t>5</w:t>
            </w:r>
          </w:p>
        </w:tc>
        <w:tc>
          <w:tcPr>
            <w:tcW w:w="2244" w:type="dxa"/>
            <w:vAlign w:val="center"/>
          </w:tcPr>
          <w:p w:rsidR="00FF276F" w:rsidRDefault="00FF276F" w:rsidP="00FF276F">
            <w:pPr>
              <w:pStyle w:val="NoSpacing"/>
              <w:jc w:val="center"/>
            </w:pPr>
            <w:r>
              <w:rPr>
                <w:rFonts w:cs="Arial"/>
                <w:color w:val="000000"/>
                <w:sz w:val="22"/>
                <w:szCs w:val="22"/>
                <w:lang w:val="es-ES"/>
              </w:rPr>
              <w:t>8.1±0.08</w:t>
            </w:r>
          </w:p>
        </w:tc>
      </w:tr>
      <w:tr w:rsidR="00FF276F" w:rsidTr="00FF276F">
        <w:trPr>
          <w:jc w:val="center"/>
        </w:trPr>
        <w:tc>
          <w:tcPr>
            <w:tcW w:w="2317" w:type="dxa"/>
          </w:tcPr>
          <w:p w:rsidR="00FF276F" w:rsidRDefault="00FF276F" w:rsidP="00FF276F">
            <w:pPr>
              <w:ind w:firstLine="0"/>
            </w:pPr>
            <w:r>
              <w:t>50</w:t>
            </w:r>
          </w:p>
        </w:tc>
        <w:tc>
          <w:tcPr>
            <w:tcW w:w="2244" w:type="dxa"/>
            <w:vAlign w:val="center"/>
          </w:tcPr>
          <w:p w:rsidR="00FF276F" w:rsidRDefault="00FF276F" w:rsidP="00FF276F">
            <w:pPr>
              <w:pStyle w:val="NoSpacing"/>
              <w:jc w:val="center"/>
            </w:pPr>
            <w:r>
              <w:rPr>
                <w:rFonts w:cs="Arial"/>
                <w:color w:val="000000"/>
                <w:sz w:val="22"/>
                <w:szCs w:val="22"/>
                <w:lang w:val="es-ES"/>
              </w:rPr>
              <w:t>7.0±0.02</w:t>
            </w:r>
          </w:p>
        </w:tc>
      </w:tr>
      <w:tr w:rsidR="00FF276F" w:rsidTr="00FF276F">
        <w:trPr>
          <w:jc w:val="center"/>
        </w:trPr>
        <w:tc>
          <w:tcPr>
            <w:tcW w:w="2317" w:type="dxa"/>
          </w:tcPr>
          <w:p w:rsidR="00FF276F" w:rsidRDefault="00FF276F" w:rsidP="00FF276F">
            <w:pPr>
              <w:ind w:firstLine="0"/>
            </w:pPr>
            <w:r>
              <w:t>100</w:t>
            </w:r>
          </w:p>
        </w:tc>
        <w:tc>
          <w:tcPr>
            <w:tcW w:w="2244" w:type="dxa"/>
            <w:vAlign w:val="center"/>
          </w:tcPr>
          <w:p w:rsidR="00FF276F" w:rsidRDefault="00FF276F" w:rsidP="00FF276F">
            <w:pPr>
              <w:pStyle w:val="NoSpacing"/>
              <w:jc w:val="center"/>
            </w:pPr>
            <w:r>
              <w:rPr>
                <w:rFonts w:cs="Arial"/>
                <w:sz w:val="22"/>
                <w:szCs w:val="22"/>
                <w:lang w:val="es-ES"/>
              </w:rPr>
              <w:t>7.0</w:t>
            </w:r>
            <w:r>
              <w:rPr>
                <w:rFonts w:cs="Arial"/>
                <w:color w:val="000000"/>
                <w:sz w:val="22"/>
                <w:szCs w:val="22"/>
                <w:lang w:val="es-ES"/>
              </w:rPr>
              <w:t>±0.06</w:t>
            </w:r>
          </w:p>
        </w:tc>
      </w:tr>
    </w:tbl>
    <w:p w:rsidR="00AB6B42" w:rsidRPr="00AB6B42" w:rsidRDefault="00AB6B42" w:rsidP="00AB6B42">
      <w:pPr>
        <w:rPr>
          <w:lang w:val="es-ES"/>
        </w:rPr>
      </w:pPr>
    </w:p>
    <w:p w:rsidR="001D28B4" w:rsidRDefault="00FD4D1E" w:rsidP="001D28B4">
      <w:pPr>
        <w:spacing w:after="0" w:line="240" w:lineRule="auto"/>
        <w:rPr>
          <w:lang w:val="es-ES"/>
        </w:rPr>
      </w:pPr>
      <w:r>
        <w:rPr>
          <w:lang w:val="es-ES"/>
        </w:rPr>
        <w:t>Sin embargo, a</w:t>
      </w:r>
      <w:r w:rsidR="001D28B4" w:rsidRPr="00D158D2">
        <w:rPr>
          <w:lang w:val="es-ES"/>
        </w:rPr>
        <w:t>ntes de hacer un estudio detallado para determinar la CMI,</w:t>
      </w:r>
      <w:r>
        <w:rPr>
          <w:lang w:val="es-ES"/>
        </w:rPr>
        <w:t xml:space="preserve"> </w:t>
      </w:r>
      <w:r w:rsidR="001D28B4" w:rsidRPr="00D158D2">
        <w:rPr>
          <w:lang w:val="es-ES"/>
        </w:rPr>
        <w:t>se dio paso al estud</w:t>
      </w:r>
      <w:r>
        <w:rPr>
          <w:lang w:val="es-ES"/>
        </w:rPr>
        <w:t>io de los sólidos sintetizados, con el fin de comprobar</w:t>
      </w:r>
      <w:r w:rsidR="001D28B4" w:rsidRPr="00D158D2">
        <w:rPr>
          <w:lang w:val="es-ES"/>
        </w:rPr>
        <w:t xml:space="preserve"> si la cantidad de compuesto </w:t>
      </w:r>
      <w:r>
        <w:rPr>
          <w:lang w:val="es-ES"/>
        </w:rPr>
        <w:t>liberado</w:t>
      </w:r>
      <w:r w:rsidR="001D28B4" w:rsidRPr="00D158D2">
        <w:rPr>
          <w:lang w:val="es-ES"/>
        </w:rPr>
        <w:t xml:space="preserve"> por dichos sólidos sería suficiente para ver el efecto inhibitorio esperado.</w:t>
      </w:r>
    </w:p>
    <w:p w:rsidR="001D28B4" w:rsidRDefault="001D28B4" w:rsidP="00B0405B">
      <w:pPr>
        <w:spacing w:after="0" w:line="240" w:lineRule="auto"/>
        <w:rPr>
          <w:lang w:val="es-ES"/>
        </w:rPr>
      </w:pPr>
    </w:p>
    <w:p w:rsidR="00936AD5" w:rsidRDefault="00337947" w:rsidP="00B0405B">
      <w:pPr>
        <w:spacing w:after="0" w:line="240" w:lineRule="auto"/>
        <w:rPr>
          <w:lang w:val="es-ES"/>
        </w:rPr>
      </w:pPr>
      <w:r w:rsidRPr="00D158D2">
        <w:rPr>
          <w:lang w:val="es-ES"/>
        </w:rPr>
        <w:t xml:space="preserve">La evaluación del sólido </w:t>
      </w:r>
      <w:r w:rsidR="00936AD5" w:rsidRPr="00D158D2">
        <w:rPr>
          <w:lang w:val="es-ES"/>
        </w:rPr>
        <w:t>se hizo únicamente con sólido SBA-15 (S)</w:t>
      </w:r>
      <w:r w:rsidRPr="00D158D2">
        <w:rPr>
          <w:lang w:val="es-ES"/>
        </w:rPr>
        <w:t>.</w:t>
      </w:r>
      <w:r w:rsidR="00936AD5" w:rsidRPr="00D158D2">
        <w:rPr>
          <w:lang w:val="es-ES"/>
        </w:rPr>
        <w:t xml:space="preserve"> </w:t>
      </w:r>
      <w:r w:rsidR="00266A25">
        <w:rPr>
          <w:lang w:val="es-ES"/>
        </w:rPr>
        <w:br/>
      </w:r>
      <w:r w:rsidRPr="00D158D2">
        <w:rPr>
          <w:lang w:val="es-ES"/>
        </w:rPr>
        <w:t xml:space="preserve">Tal y como indica la </w:t>
      </w:r>
      <w:r w:rsidR="00266A25">
        <w:rPr>
          <w:lang w:val="es-ES"/>
        </w:rPr>
        <w:t>T</w:t>
      </w:r>
      <w:r w:rsidRPr="00D158D2">
        <w:rPr>
          <w:lang w:val="es-ES"/>
        </w:rPr>
        <w:t xml:space="preserve">abla </w:t>
      </w:r>
      <w:r w:rsidR="000A4069">
        <w:rPr>
          <w:lang w:val="es-ES"/>
        </w:rPr>
        <w:t>4</w:t>
      </w:r>
      <w:r w:rsidRPr="00D158D2">
        <w:rPr>
          <w:lang w:val="es-ES"/>
        </w:rPr>
        <w:t>,</w:t>
      </w:r>
      <w:r w:rsidR="00936AD5" w:rsidRPr="00D158D2">
        <w:rPr>
          <w:lang w:val="es-ES"/>
        </w:rPr>
        <w:t xml:space="preserve"> el sólido por sí solo (sin carga ni funcionalización) no presentó diferencias significativas en el crecimiento o inhibición de la bacteria. Sin embargo</w:t>
      </w:r>
      <w:r w:rsidRPr="00D158D2">
        <w:rPr>
          <w:lang w:val="es-ES"/>
        </w:rPr>
        <w:t>,</w:t>
      </w:r>
      <w:r w:rsidR="00936AD5" w:rsidRPr="00D158D2">
        <w:rPr>
          <w:lang w:val="es-ES"/>
        </w:rPr>
        <w:t xml:space="preserve"> este mismo comportamiento se encontró al evaluar el sólido cargado S1 y el sólido funcionalizado S1-N</w:t>
      </w:r>
      <w:r w:rsidR="00E3761C">
        <w:rPr>
          <w:lang w:val="es-ES"/>
        </w:rPr>
        <w:t>3</w:t>
      </w:r>
      <w:r w:rsidR="00936AD5" w:rsidRPr="00D158D2">
        <w:rPr>
          <w:lang w:val="es-ES"/>
        </w:rPr>
        <w:t xml:space="preserve">. </w:t>
      </w:r>
      <w:r w:rsidR="002D1A0A">
        <w:rPr>
          <w:lang w:val="es-ES"/>
        </w:rPr>
        <w:br/>
      </w:r>
      <w:r w:rsidR="00936AD5" w:rsidRPr="00D158D2">
        <w:rPr>
          <w:lang w:val="es-ES"/>
        </w:rPr>
        <w:t>E</w:t>
      </w:r>
      <w:r w:rsidRPr="00D158D2">
        <w:rPr>
          <w:lang w:val="es-ES"/>
        </w:rPr>
        <w:t>n</w:t>
      </w:r>
      <w:r w:rsidR="00936AD5" w:rsidRPr="00D158D2">
        <w:rPr>
          <w:lang w:val="es-ES"/>
        </w:rPr>
        <w:t xml:space="preserve"> todos los casos </w:t>
      </w:r>
      <w:r w:rsidRPr="00D158D2">
        <w:rPr>
          <w:lang w:val="es-ES"/>
        </w:rPr>
        <w:t>no hubo diferencias respecto al control positivo.</w:t>
      </w:r>
    </w:p>
    <w:p w:rsidR="00D158D2" w:rsidRDefault="00D158D2" w:rsidP="00B0405B">
      <w:pPr>
        <w:spacing w:after="0" w:line="240" w:lineRule="auto"/>
        <w:rPr>
          <w:lang w:val="es-ES"/>
        </w:rPr>
      </w:pPr>
    </w:p>
    <w:p w:rsidR="00D158D2" w:rsidRPr="00300851" w:rsidRDefault="00D158D2" w:rsidP="00D158D2">
      <w:pPr>
        <w:pStyle w:val="Caption"/>
        <w:keepNext/>
        <w:spacing w:after="0"/>
        <w:jc w:val="center"/>
        <w:rPr>
          <w:color w:val="auto"/>
          <w:sz w:val="22"/>
          <w:szCs w:val="22"/>
          <w:lang w:val="es-ES"/>
        </w:rPr>
      </w:pPr>
      <w:r w:rsidRPr="00300851">
        <w:rPr>
          <w:color w:val="auto"/>
          <w:sz w:val="22"/>
          <w:szCs w:val="22"/>
          <w:lang w:val="es-ES"/>
        </w:rPr>
        <w:t xml:space="preserve">Tabla </w:t>
      </w:r>
      <w:r w:rsidR="000A4069" w:rsidRPr="005D4C70">
        <w:rPr>
          <w:color w:val="auto"/>
          <w:sz w:val="22"/>
          <w:szCs w:val="22"/>
          <w:lang w:val="es-ES"/>
        </w:rPr>
        <w:t>4</w:t>
      </w:r>
      <w:r w:rsidRPr="00300851">
        <w:rPr>
          <w:color w:val="auto"/>
          <w:sz w:val="22"/>
          <w:szCs w:val="22"/>
          <w:lang w:val="es-ES"/>
        </w:rPr>
        <w:t xml:space="preserve">. </w:t>
      </w:r>
      <w:r w:rsidR="0058456F" w:rsidRPr="0058456F">
        <w:rPr>
          <w:b w:val="0"/>
          <w:color w:val="auto"/>
          <w:sz w:val="22"/>
          <w:szCs w:val="22"/>
          <w:lang w:val="es-ES"/>
        </w:rPr>
        <w:t xml:space="preserve">Recuento </w:t>
      </w:r>
      <w:r w:rsidR="0058456F" w:rsidRPr="0058456F">
        <w:rPr>
          <w:b w:val="0"/>
          <w:i/>
          <w:color w:val="auto"/>
          <w:sz w:val="22"/>
          <w:szCs w:val="22"/>
          <w:lang w:val="es-ES"/>
        </w:rPr>
        <w:t>E. Coli</w:t>
      </w:r>
      <w:r w:rsidR="0058456F">
        <w:rPr>
          <w:color w:val="auto"/>
          <w:sz w:val="22"/>
          <w:szCs w:val="22"/>
          <w:lang w:val="es-ES"/>
        </w:rPr>
        <w:t xml:space="preserve">  </w:t>
      </w:r>
      <w:r w:rsidR="0058456F">
        <w:rPr>
          <w:b w:val="0"/>
          <w:color w:val="auto"/>
          <w:sz w:val="22"/>
          <w:szCs w:val="22"/>
          <w:lang w:val="es-ES"/>
        </w:rPr>
        <w:t xml:space="preserve">expuesto a </w:t>
      </w:r>
      <w:r w:rsidRPr="008E4461">
        <w:rPr>
          <w:b w:val="0"/>
          <w:color w:val="auto"/>
          <w:sz w:val="22"/>
          <w:szCs w:val="22"/>
          <w:lang w:val="es-ES"/>
        </w:rPr>
        <w:t>DADS libre y encapsulado</w:t>
      </w:r>
    </w:p>
    <w:tbl>
      <w:tblPr>
        <w:tblStyle w:val="TableGrid"/>
        <w:tblW w:w="7713" w:type="dxa"/>
        <w:jc w:val="center"/>
        <w:tblLook w:val="04A0" w:firstRow="1" w:lastRow="0" w:firstColumn="1" w:lastColumn="0" w:noHBand="0" w:noVBand="1"/>
      </w:tblPr>
      <w:tblGrid>
        <w:gridCol w:w="2932"/>
        <w:gridCol w:w="1565"/>
        <w:gridCol w:w="1565"/>
        <w:gridCol w:w="1651"/>
      </w:tblGrid>
      <w:tr w:rsidR="00E3761C" w:rsidRPr="00E67E48" w:rsidTr="0058456F">
        <w:trPr>
          <w:trHeight w:val="489"/>
          <w:jc w:val="center"/>
        </w:trPr>
        <w:tc>
          <w:tcPr>
            <w:tcW w:w="2932" w:type="dxa"/>
            <w:vAlign w:val="center"/>
          </w:tcPr>
          <w:p w:rsidR="00E3761C" w:rsidRPr="00E67E48" w:rsidRDefault="00E3761C" w:rsidP="00E3761C">
            <w:pPr>
              <w:pStyle w:val="NoSpacing"/>
              <w:jc w:val="center"/>
              <w:rPr>
                <w:rFonts w:cs="Arial"/>
                <w:b/>
                <w:sz w:val="22"/>
                <w:szCs w:val="22"/>
                <w:lang w:val="es-ES"/>
              </w:rPr>
            </w:pPr>
            <w:r>
              <w:rPr>
                <w:rFonts w:cs="Arial"/>
                <w:b/>
                <w:sz w:val="22"/>
                <w:szCs w:val="22"/>
                <w:lang w:val="es-ES"/>
              </w:rPr>
              <w:t>Sólido empleado</w:t>
            </w:r>
          </w:p>
        </w:tc>
        <w:tc>
          <w:tcPr>
            <w:tcW w:w="1565" w:type="dxa"/>
            <w:vAlign w:val="center"/>
          </w:tcPr>
          <w:p w:rsidR="00E3761C" w:rsidRDefault="00E3761C" w:rsidP="00E3761C">
            <w:pPr>
              <w:pStyle w:val="NoSpacing"/>
              <w:ind w:firstLine="0"/>
              <w:jc w:val="center"/>
              <w:rPr>
                <w:rFonts w:cs="Arial"/>
                <w:b/>
                <w:sz w:val="22"/>
                <w:szCs w:val="22"/>
                <w:lang w:val="es-ES"/>
              </w:rPr>
            </w:pPr>
            <w:r>
              <w:rPr>
                <w:rFonts w:cs="Arial"/>
                <w:b/>
                <w:sz w:val="22"/>
                <w:szCs w:val="22"/>
                <w:lang w:val="es-ES"/>
              </w:rPr>
              <w:t>S0</w:t>
            </w:r>
          </w:p>
        </w:tc>
        <w:tc>
          <w:tcPr>
            <w:tcW w:w="1565" w:type="dxa"/>
            <w:vAlign w:val="center"/>
          </w:tcPr>
          <w:p w:rsidR="00E3761C" w:rsidRPr="00E67E48" w:rsidRDefault="00E3761C" w:rsidP="0058456F">
            <w:pPr>
              <w:pStyle w:val="NoSpacing"/>
              <w:rPr>
                <w:rFonts w:cs="Arial"/>
                <w:b/>
                <w:sz w:val="22"/>
                <w:szCs w:val="22"/>
                <w:lang w:val="es-ES"/>
              </w:rPr>
            </w:pPr>
            <w:r>
              <w:rPr>
                <w:rFonts w:cs="Arial"/>
                <w:b/>
                <w:sz w:val="22"/>
                <w:szCs w:val="22"/>
                <w:lang w:val="es-ES"/>
              </w:rPr>
              <w:t>S1</w:t>
            </w:r>
          </w:p>
        </w:tc>
        <w:tc>
          <w:tcPr>
            <w:tcW w:w="1651" w:type="dxa"/>
            <w:vAlign w:val="center"/>
          </w:tcPr>
          <w:p w:rsidR="00E3761C" w:rsidRPr="00E67E48" w:rsidRDefault="00E3761C" w:rsidP="0058456F">
            <w:pPr>
              <w:pStyle w:val="NoSpacing"/>
              <w:rPr>
                <w:rFonts w:cs="Arial"/>
                <w:b/>
                <w:sz w:val="22"/>
                <w:szCs w:val="22"/>
                <w:lang w:val="es-ES"/>
              </w:rPr>
            </w:pPr>
            <w:r>
              <w:rPr>
                <w:rFonts w:cs="Arial"/>
                <w:b/>
                <w:sz w:val="22"/>
                <w:szCs w:val="22"/>
                <w:lang w:val="es-ES"/>
              </w:rPr>
              <w:t>S1-N3</w:t>
            </w:r>
          </w:p>
        </w:tc>
      </w:tr>
      <w:tr w:rsidR="00E3761C" w:rsidRPr="00E3761C" w:rsidTr="0058456F">
        <w:trPr>
          <w:trHeight w:val="375"/>
          <w:jc w:val="center"/>
        </w:trPr>
        <w:tc>
          <w:tcPr>
            <w:tcW w:w="2932" w:type="dxa"/>
            <w:vAlign w:val="center"/>
          </w:tcPr>
          <w:p w:rsidR="00E3761C" w:rsidRPr="00330F36" w:rsidRDefault="00330F36" w:rsidP="00330F36">
            <w:pPr>
              <w:pStyle w:val="NoSpacing"/>
              <w:jc w:val="right"/>
              <w:rPr>
                <w:rFonts w:cs="Arial"/>
                <w:b/>
                <w:sz w:val="22"/>
                <w:szCs w:val="22"/>
                <w:lang w:val="es-ES"/>
              </w:rPr>
            </w:pPr>
            <w:r>
              <w:rPr>
                <w:rFonts w:cs="Arial"/>
                <w:b/>
                <w:sz w:val="22"/>
                <w:szCs w:val="22"/>
                <w:lang w:val="es-ES"/>
              </w:rPr>
              <w:t>Log10 (</w:t>
            </w:r>
            <w:r w:rsidR="00E3761C" w:rsidRPr="00266A25">
              <w:rPr>
                <w:rFonts w:cs="Arial"/>
                <w:b/>
                <w:sz w:val="22"/>
                <w:szCs w:val="22"/>
                <w:lang w:val="es-ES"/>
              </w:rPr>
              <w:t>ufc/mL</w:t>
            </w:r>
            <w:r>
              <w:rPr>
                <w:rFonts w:cs="Arial"/>
                <w:b/>
                <w:sz w:val="22"/>
                <w:szCs w:val="22"/>
                <w:lang w:val="es-ES"/>
              </w:rPr>
              <w:t>)</w:t>
            </w:r>
          </w:p>
        </w:tc>
        <w:tc>
          <w:tcPr>
            <w:tcW w:w="1565" w:type="dxa"/>
            <w:vAlign w:val="center"/>
          </w:tcPr>
          <w:p w:rsidR="00E3761C" w:rsidRPr="00E67E48" w:rsidRDefault="00330F36" w:rsidP="00E3761C">
            <w:pPr>
              <w:pStyle w:val="NoSpacing"/>
              <w:ind w:firstLine="0"/>
              <w:jc w:val="center"/>
              <w:rPr>
                <w:rFonts w:cs="Arial"/>
                <w:color w:val="000000"/>
                <w:sz w:val="22"/>
                <w:szCs w:val="22"/>
                <w:lang w:val="es-ES"/>
              </w:rPr>
            </w:pPr>
            <w:r>
              <w:rPr>
                <w:rFonts w:cs="Arial"/>
                <w:color w:val="000000"/>
                <w:sz w:val="22"/>
                <w:szCs w:val="22"/>
                <w:lang w:val="es-ES"/>
              </w:rPr>
              <w:t>8.3</w:t>
            </w:r>
            <w:r w:rsidR="00FF276F">
              <w:rPr>
                <w:rFonts w:cs="Arial"/>
                <w:color w:val="000000"/>
                <w:sz w:val="22"/>
                <w:szCs w:val="22"/>
                <w:lang w:val="es-ES"/>
              </w:rPr>
              <w:t xml:space="preserve"> ± 0.0</w:t>
            </w:r>
          </w:p>
        </w:tc>
        <w:tc>
          <w:tcPr>
            <w:tcW w:w="1565" w:type="dxa"/>
            <w:vAlign w:val="center"/>
          </w:tcPr>
          <w:p w:rsidR="00E3761C" w:rsidRPr="00E67E48" w:rsidRDefault="00330F36" w:rsidP="0058456F">
            <w:pPr>
              <w:pStyle w:val="NoSpacing"/>
              <w:rPr>
                <w:rFonts w:cs="Arial"/>
                <w:sz w:val="22"/>
                <w:szCs w:val="22"/>
                <w:lang w:val="es-ES"/>
              </w:rPr>
            </w:pPr>
            <w:r>
              <w:rPr>
                <w:rFonts w:cs="Arial"/>
                <w:sz w:val="22"/>
                <w:szCs w:val="22"/>
                <w:lang w:val="es-ES"/>
              </w:rPr>
              <w:t>8.3</w:t>
            </w:r>
            <w:r w:rsidR="00FF276F">
              <w:rPr>
                <w:rFonts w:cs="Arial"/>
                <w:sz w:val="22"/>
                <w:szCs w:val="22"/>
                <w:lang w:val="es-ES"/>
              </w:rPr>
              <w:t xml:space="preserve"> </w:t>
            </w:r>
            <w:r w:rsidR="00FF276F">
              <w:rPr>
                <w:rFonts w:cs="Arial"/>
                <w:color w:val="000000"/>
                <w:sz w:val="22"/>
                <w:szCs w:val="22"/>
                <w:lang w:val="es-ES"/>
              </w:rPr>
              <w:t>± 0.0</w:t>
            </w:r>
          </w:p>
        </w:tc>
        <w:tc>
          <w:tcPr>
            <w:tcW w:w="1651" w:type="dxa"/>
            <w:vAlign w:val="center"/>
          </w:tcPr>
          <w:p w:rsidR="00E3761C" w:rsidRPr="00E67E48" w:rsidRDefault="00330F36" w:rsidP="0058456F">
            <w:pPr>
              <w:pStyle w:val="NoSpacing"/>
              <w:ind w:firstLine="0"/>
              <w:jc w:val="center"/>
              <w:rPr>
                <w:rFonts w:cs="Arial"/>
                <w:color w:val="000000"/>
                <w:sz w:val="22"/>
                <w:szCs w:val="22"/>
                <w:lang w:val="es-ES"/>
              </w:rPr>
            </w:pPr>
            <w:r>
              <w:rPr>
                <w:rFonts w:cs="Arial"/>
                <w:color w:val="000000"/>
                <w:sz w:val="22"/>
                <w:szCs w:val="22"/>
                <w:lang w:val="es-ES"/>
              </w:rPr>
              <w:t>8.4</w:t>
            </w:r>
            <w:r w:rsidR="00FF276F">
              <w:rPr>
                <w:rFonts w:cs="Arial"/>
                <w:color w:val="000000"/>
                <w:sz w:val="22"/>
                <w:szCs w:val="22"/>
                <w:lang w:val="es-ES"/>
              </w:rPr>
              <w:t xml:space="preserve"> ± 0.08</w:t>
            </w:r>
          </w:p>
        </w:tc>
      </w:tr>
    </w:tbl>
    <w:p w:rsidR="00AA2985" w:rsidRDefault="00AA2985" w:rsidP="00234195">
      <w:pPr>
        <w:spacing w:after="0" w:line="240" w:lineRule="auto"/>
        <w:rPr>
          <w:lang w:val="es-ES"/>
        </w:rPr>
      </w:pPr>
    </w:p>
    <w:p w:rsidR="0058456F" w:rsidRDefault="00337947" w:rsidP="00234195">
      <w:pPr>
        <w:spacing w:after="0" w:line="240" w:lineRule="auto"/>
        <w:rPr>
          <w:lang w:val="es-ES"/>
        </w:rPr>
      </w:pPr>
      <w:r w:rsidRPr="00D158D2">
        <w:rPr>
          <w:lang w:val="es-ES"/>
        </w:rPr>
        <w:t xml:space="preserve">Con estos resultados </w:t>
      </w:r>
      <w:r w:rsidR="004775A5">
        <w:rPr>
          <w:lang w:val="es-ES"/>
        </w:rPr>
        <w:t>se planteó</w:t>
      </w:r>
      <w:r w:rsidRPr="00D158D2">
        <w:rPr>
          <w:lang w:val="es-ES"/>
        </w:rPr>
        <w:t xml:space="preserve"> una modificación en el sistema de encapsulación</w:t>
      </w:r>
      <w:r w:rsidR="004775A5">
        <w:rPr>
          <w:lang w:val="es-ES"/>
        </w:rPr>
        <w:t>.</w:t>
      </w:r>
      <w:r w:rsidR="00503835" w:rsidRPr="00D158D2">
        <w:rPr>
          <w:lang w:val="es-ES"/>
        </w:rPr>
        <w:t xml:space="preserve"> </w:t>
      </w:r>
    </w:p>
    <w:p w:rsidR="008E5281" w:rsidRDefault="004775A5" w:rsidP="00234195">
      <w:pPr>
        <w:spacing w:after="0" w:line="240" w:lineRule="auto"/>
        <w:rPr>
          <w:color w:val="0070C0"/>
          <w:lang w:val="es-ES"/>
        </w:rPr>
      </w:pPr>
      <w:r>
        <w:rPr>
          <w:lang w:val="es-ES"/>
        </w:rPr>
        <w:t>S</w:t>
      </w:r>
      <w:r w:rsidR="00936AD5" w:rsidRPr="00D158D2">
        <w:rPr>
          <w:lang w:val="es-ES"/>
        </w:rPr>
        <w:t>i bien es cierto que</w:t>
      </w:r>
      <w:r w:rsidR="00337947" w:rsidRPr="00D158D2">
        <w:rPr>
          <w:lang w:val="es-ES"/>
        </w:rPr>
        <w:t xml:space="preserve"> el estudio de optimización arrojó un</w:t>
      </w:r>
      <w:r w:rsidR="00F871F0" w:rsidRPr="00D158D2">
        <w:rPr>
          <w:lang w:val="es-ES"/>
        </w:rPr>
        <w:t xml:space="preserve"> sólido</w:t>
      </w:r>
      <w:r w:rsidR="00337947" w:rsidRPr="00D158D2">
        <w:rPr>
          <w:lang w:val="es-ES"/>
        </w:rPr>
        <w:t xml:space="preserve"> que</w:t>
      </w:r>
      <w:r w:rsidR="00F871F0" w:rsidRPr="00D158D2">
        <w:rPr>
          <w:lang w:val="es-ES"/>
        </w:rPr>
        <w:t xml:space="preserve"> logra liberar entre un 70 y 80% del material cargado</w:t>
      </w:r>
      <w:r w:rsidR="00557EE8" w:rsidRPr="00D158D2">
        <w:rPr>
          <w:lang w:val="es-ES"/>
        </w:rPr>
        <w:t>;</w:t>
      </w:r>
      <w:r w:rsidR="00337947" w:rsidRPr="00D158D2">
        <w:rPr>
          <w:lang w:val="es-ES"/>
        </w:rPr>
        <w:t xml:space="preserve"> </w:t>
      </w:r>
      <w:r w:rsidR="00F871F0" w:rsidRPr="00D158D2">
        <w:rPr>
          <w:lang w:val="es-ES"/>
        </w:rPr>
        <w:t>las pruebas realizadas suponían una carga</w:t>
      </w:r>
      <w:r w:rsidR="00503835" w:rsidRPr="00D158D2">
        <w:rPr>
          <w:lang w:val="es-ES"/>
        </w:rPr>
        <w:t xml:space="preserve"> máxima</w:t>
      </w:r>
      <w:r w:rsidR="00F871F0" w:rsidRPr="00D158D2">
        <w:rPr>
          <w:lang w:val="es-ES"/>
        </w:rPr>
        <w:t xml:space="preserve"> de 0.05</w:t>
      </w:r>
      <w:r w:rsidR="00503835" w:rsidRPr="00D158D2">
        <w:rPr>
          <w:lang w:val="es-ES"/>
        </w:rPr>
        <w:t xml:space="preserve"> </w:t>
      </w:r>
      <w:r w:rsidR="00F871F0" w:rsidRPr="00D158D2">
        <w:rPr>
          <w:lang w:val="es-ES"/>
        </w:rPr>
        <w:t>mg</w:t>
      </w:r>
      <w:r w:rsidR="00503835" w:rsidRPr="00D158D2">
        <w:rPr>
          <w:lang w:val="es-ES"/>
        </w:rPr>
        <w:t xml:space="preserve"> </w:t>
      </w:r>
      <w:r w:rsidR="00F871F0" w:rsidRPr="00D158D2">
        <w:rPr>
          <w:lang w:val="es-ES"/>
        </w:rPr>
        <w:t>DADS por mg de sólido</w:t>
      </w:r>
      <w:r w:rsidR="00503835" w:rsidRPr="00D158D2">
        <w:rPr>
          <w:lang w:val="es-ES"/>
        </w:rPr>
        <w:t>;</w:t>
      </w:r>
      <w:r w:rsidR="00F871F0" w:rsidRPr="00D158D2">
        <w:rPr>
          <w:lang w:val="es-ES"/>
        </w:rPr>
        <w:t xml:space="preserve"> lo que en el medio </w:t>
      </w:r>
      <w:r w:rsidR="006D2654" w:rsidRPr="00D158D2">
        <w:rPr>
          <w:lang w:val="es-ES"/>
        </w:rPr>
        <w:t xml:space="preserve">de incubación del </w:t>
      </w:r>
      <w:r w:rsidR="006D2654" w:rsidRPr="00D158D2">
        <w:rPr>
          <w:i/>
          <w:lang w:val="es-ES"/>
        </w:rPr>
        <w:t>E. coli</w:t>
      </w:r>
      <w:r w:rsidR="006D2654" w:rsidRPr="00D158D2">
        <w:rPr>
          <w:lang w:val="es-ES"/>
        </w:rPr>
        <w:t xml:space="preserve">, </w:t>
      </w:r>
      <w:r w:rsidR="00F871F0" w:rsidRPr="00D158D2">
        <w:rPr>
          <w:lang w:val="es-ES"/>
        </w:rPr>
        <w:t>no significa</w:t>
      </w:r>
      <w:r w:rsidR="006D2654" w:rsidRPr="00D158D2">
        <w:rPr>
          <w:lang w:val="es-ES"/>
        </w:rPr>
        <w:t>ba</w:t>
      </w:r>
      <w:r w:rsidR="00F871F0" w:rsidRPr="00D158D2">
        <w:rPr>
          <w:lang w:val="es-ES"/>
        </w:rPr>
        <w:t xml:space="preserve"> más de 0.1mg/ml. </w:t>
      </w:r>
      <w:r>
        <w:rPr>
          <w:lang w:val="es-ES"/>
        </w:rPr>
        <w:t>C</w:t>
      </w:r>
      <w:r w:rsidR="006D2654" w:rsidRPr="00D158D2">
        <w:rPr>
          <w:lang w:val="es-ES"/>
        </w:rPr>
        <w:t xml:space="preserve">on base en los ensayos hechos </w:t>
      </w:r>
      <w:r w:rsidR="00F871F0" w:rsidRPr="00D158D2">
        <w:rPr>
          <w:lang w:val="es-ES"/>
        </w:rPr>
        <w:t>de DADS</w:t>
      </w:r>
      <w:r w:rsidR="008E5281" w:rsidRPr="00D158D2">
        <w:rPr>
          <w:lang w:val="es-ES"/>
        </w:rPr>
        <w:t>,</w:t>
      </w:r>
      <w:r w:rsidR="006D2654" w:rsidRPr="00D158D2">
        <w:rPr>
          <w:lang w:val="es-ES"/>
        </w:rPr>
        <w:t xml:space="preserve"> sabemos que esa</w:t>
      </w:r>
      <w:r w:rsidR="008E5281" w:rsidRPr="00D158D2">
        <w:rPr>
          <w:lang w:val="es-ES"/>
        </w:rPr>
        <w:t xml:space="preserve"> </w:t>
      </w:r>
      <w:r w:rsidR="006D2654" w:rsidRPr="00D158D2">
        <w:rPr>
          <w:lang w:val="es-ES"/>
        </w:rPr>
        <w:t>concentración</w:t>
      </w:r>
      <w:r w:rsidR="00F871F0" w:rsidRPr="00D158D2">
        <w:rPr>
          <w:lang w:val="es-ES"/>
        </w:rPr>
        <w:t xml:space="preserve"> está muy por debajo del rango </w:t>
      </w:r>
      <w:r w:rsidR="006873DC" w:rsidRPr="00D158D2">
        <w:rPr>
          <w:lang w:val="es-ES"/>
        </w:rPr>
        <w:t xml:space="preserve">a partir del cual mostró inhibición el DADS sobre el </w:t>
      </w:r>
      <w:r w:rsidR="006873DC" w:rsidRPr="00D158D2">
        <w:rPr>
          <w:i/>
          <w:lang w:val="es-ES"/>
        </w:rPr>
        <w:t>E. Coli</w:t>
      </w:r>
      <w:r w:rsidR="006873DC" w:rsidRPr="00D158D2">
        <w:rPr>
          <w:lang w:val="es-ES"/>
        </w:rPr>
        <w:t xml:space="preserve">. </w:t>
      </w:r>
      <w:r w:rsidR="00936AD5" w:rsidRPr="00D158D2">
        <w:rPr>
          <w:lang w:val="es-ES"/>
        </w:rPr>
        <w:t xml:space="preserve">  </w:t>
      </w:r>
      <w:r w:rsidR="008E5281" w:rsidRPr="00D158D2">
        <w:rPr>
          <w:lang w:val="es-ES"/>
        </w:rPr>
        <w:t>Por esta razón se prop</w:t>
      </w:r>
      <w:r w:rsidR="00557EE8" w:rsidRPr="00D158D2">
        <w:rPr>
          <w:lang w:val="es-ES"/>
        </w:rPr>
        <w:t>uso</w:t>
      </w:r>
      <w:r w:rsidR="008E5281" w:rsidRPr="00D158D2">
        <w:rPr>
          <w:lang w:val="es-ES"/>
        </w:rPr>
        <w:t xml:space="preserve"> un encapsulado del sólido que incremente la </w:t>
      </w:r>
      <w:r w:rsidR="008E5281" w:rsidRPr="00D158D2">
        <w:rPr>
          <w:lang w:val="es-ES"/>
        </w:rPr>
        <w:lastRenderedPageBreak/>
        <w:t>cantidad de DADS disponible en el medio de incubación. En este caso y visto que el incremento en el número de ciclos de carga no mejora la cantidad encapsulada. Se planteó cargar el sólido con una solución significativamente más concentrada</w:t>
      </w:r>
      <w:r w:rsidR="00812CDF">
        <w:rPr>
          <w:lang w:val="es-ES"/>
        </w:rPr>
        <w:t>, con el fin de</w:t>
      </w:r>
      <w:r w:rsidR="008E5281" w:rsidRPr="00D158D2">
        <w:rPr>
          <w:lang w:val="es-ES"/>
        </w:rPr>
        <w:t xml:space="preserve"> </w:t>
      </w:r>
      <w:r w:rsidR="00812CDF">
        <w:rPr>
          <w:lang w:val="es-ES"/>
        </w:rPr>
        <w:t>obtener</w:t>
      </w:r>
      <w:r w:rsidR="008E5281" w:rsidRPr="00D158D2">
        <w:rPr>
          <w:lang w:val="es-ES"/>
        </w:rPr>
        <w:t xml:space="preserve"> una concentración de DADS en el medio</w:t>
      </w:r>
      <w:r w:rsidR="00557EE8" w:rsidRPr="00D158D2">
        <w:rPr>
          <w:lang w:val="es-ES"/>
        </w:rPr>
        <w:t xml:space="preserve"> capaz de mostrar inhibición</w:t>
      </w:r>
      <w:r w:rsidR="008E5281" w:rsidRPr="00D158D2">
        <w:rPr>
          <w:lang w:val="es-ES"/>
        </w:rPr>
        <w:t>.</w:t>
      </w:r>
    </w:p>
    <w:p w:rsidR="00CF2BB4" w:rsidRDefault="00812CDF" w:rsidP="00234195">
      <w:pPr>
        <w:spacing w:after="0" w:line="240" w:lineRule="auto"/>
        <w:rPr>
          <w:lang w:val="es-ES"/>
        </w:rPr>
      </w:pPr>
      <w:r>
        <w:rPr>
          <w:lang w:val="es-ES"/>
        </w:rPr>
        <w:t>Los nuevos s</w:t>
      </w:r>
      <w:r w:rsidR="00A63E38">
        <w:rPr>
          <w:lang w:val="es-ES"/>
        </w:rPr>
        <w:t>ólidos</w:t>
      </w:r>
      <w:r>
        <w:rPr>
          <w:lang w:val="es-ES"/>
        </w:rPr>
        <w:t xml:space="preserve"> liberaron en el medio</w:t>
      </w:r>
      <w:r w:rsidR="004534AC">
        <w:rPr>
          <w:lang w:val="es-ES"/>
        </w:rPr>
        <w:t xml:space="preserve"> (medio inoculado TBS)</w:t>
      </w:r>
      <w:r>
        <w:rPr>
          <w:lang w:val="es-ES"/>
        </w:rPr>
        <w:t xml:space="preserve"> una</w:t>
      </w:r>
      <w:r w:rsidR="00AB792D" w:rsidRPr="00202C73">
        <w:rPr>
          <w:lang w:val="es-ES"/>
        </w:rPr>
        <w:t xml:space="preserve"> concentración de</w:t>
      </w:r>
      <w:r w:rsidR="00A63E38">
        <w:rPr>
          <w:lang w:val="es-ES"/>
        </w:rPr>
        <w:t xml:space="preserve"> 4 y </w:t>
      </w:r>
      <w:r w:rsidR="00AB792D" w:rsidRPr="00202C73">
        <w:rPr>
          <w:lang w:val="es-ES"/>
        </w:rPr>
        <w:t xml:space="preserve"> 6 mg DADS/mg medio.</w:t>
      </w:r>
      <w:r w:rsidR="005B1108" w:rsidRPr="00202C73">
        <w:rPr>
          <w:lang w:val="es-ES"/>
        </w:rPr>
        <w:t xml:space="preserve"> </w:t>
      </w:r>
      <w:r w:rsidR="00703EF9" w:rsidRPr="00202C73">
        <w:rPr>
          <w:lang w:val="es-ES"/>
        </w:rPr>
        <w:t xml:space="preserve">La </w:t>
      </w:r>
      <w:r w:rsidR="004775A5">
        <w:rPr>
          <w:lang w:val="es-ES"/>
        </w:rPr>
        <w:t>T</w:t>
      </w:r>
      <w:r w:rsidR="00703EF9" w:rsidRPr="000A4069">
        <w:rPr>
          <w:lang w:val="es-ES"/>
        </w:rPr>
        <w:t xml:space="preserve">abla </w:t>
      </w:r>
      <w:r w:rsidR="000A4069">
        <w:rPr>
          <w:lang w:val="es-ES"/>
        </w:rPr>
        <w:t>5</w:t>
      </w:r>
      <w:r w:rsidR="00703EF9" w:rsidRPr="00202C73">
        <w:rPr>
          <w:lang w:val="es-ES"/>
        </w:rPr>
        <w:t xml:space="preserve"> muestra los resultados obtenidos con estos sólidos,</w:t>
      </w:r>
      <w:r w:rsidR="00557EE8" w:rsidRPr="00202C73">
        <w:rPr>
          <w:lang w:val="es-ES"/>
        </w:rPr>
        <w:t xml:space="preserve"> donde se evidenció</w:t>
      </w:r>
      <w:r w:rsidR="00703EF9" w:rsidRPr="00202C73">
        <w:rPr>
          <w:lang w:val="es-ES"/>
        </w:rPr>
        <w:t xml:space="preserve"> un</w:t>
      </w:r>
      <w:r w:rsidR="00D24ED9">
        <w:rPr>
          <w:lang w:val="es-ES"/>
        </w:rPr>
        <w:t xml:space="preserve"> significativo</w:t>
      </w:r>
      <w:r w:rsidR="00703EF9" w:rsidRPr="00202C73">
        <w:rPr>
          <w:lang w:val="es-ES"/>
        </w:rPr>
        <w:t xml:space="preserve"> descenso en el crecimiento de la cepa y</w:t>
      </w:r>
      <w:r w:rsidR="008352B1">
        <w:rPr>
          <w:lang w:val="es-ES"/>
        </w:rPr>
        <w:t>,</w:t>
      </w:r>
      <w:r w:rsidR="00703EF9" w:rsidRPr="00202C73">
        <w:rPr>
          <w:lang w:val="es-ES"/>
        </w:rPr>
        <w:t xml:space="preserve"> mayor inhibición que la existente con el DADS libre</w:t>
      </w:r>
      <w:r w:rsidR="004775A5">
        <w:rPr>
          <w:lang w:val="es-ES"/>
        </w:rPr>
        <w:t xml:space="preserve"> a la misma concentración</w:t>
      </w:r>
      <w:r w:rsidR="00703EF9" w:rsidRPr="00202C73">
        <w:rPr>
          <w:lang w:val="es-ES"/>
        </w:rPr>
        <w:t>.</w:t>
      </w:r>
      <w:r w:rsidR="00BA48C8" w:rsidRPr="00202C73">
        <w:rPr>
          <w:lang w:val="es-ES"/>
        </w:rPr>
        <w:t xml:space="preserve"> </w:t>
      </w:r>
      <w:r w:rsidR="008352B1">
        <w:rPr>
          <w:lang w:val="es-ES"/>
        </w:rPr>
        <w:t xml:space="preserve"> En ambos casos (4 y 6)</w:t>
      </w:r>
      <w:r w:rsidR="00D24ED9">
        <w:rPr>
          <w:lang w:val="es-ES"/>
        </w:rPr>
        <w:t xml:space="preserve"> el análisis estadístico t-student mostró un valor de significancia inferior a 0.05 respecto a la muestra control (sólido sin carga) y al control positivo (muestras sin DADS en el medio). </w:t>
      </w:r>
      <w:r w:rsidR="00BA48C8" w:rsidRPr="00202C73">
        <w:rPr>
          <w:lang w:val="es-ES"/>
        </w:rPr>
        <w:t xml:space="preserve">Esto </w:t>
      </w:r>
      <w:r w:rsidR="00F9394F">
        <w:rPr>
          <w:lang w:val="es-ES"/>
        </w:rPr>
        <w:t>muestra</w:t>
      </w:r>
      <w:r w:rsidR="00BA48C8" w:rsidRPr="00202C73">
        <w:rPr>
          <w:lang w:val="es-ES"/>
        </w:rPr>
        <w:t xml:space="preserve"> la efectividad de la aplicación de la encapsulació</w:t>
      </w:r>
      <w:r w:rsidR="00202C73" w:rsidRPr="00202C73">
        <w:rPr>
          <w:lang w:val="es-ES"/>
        </w:rPr>
        <w:t>n</w:t>
      </w:r>
      <w:r w:rsidR="00202C73">
        <w:rPr>
          <w:color w:val="0070C0"/>
          <w:lang w:val="es-ES"/>
        </w:rPr>
        <w:t xml:space="preserve"> </w:t>
      </w:r>
      <w:r w:rsidR="00C631DB" w:rsidRPr="004775A5">
        <w:rPr>
          <w:lang w:val="es-ES"/>
        </w:rPr>
        <w:t xml:space="preserve">como </w:t>
      </w:r>
      <w:r w:rsidR="00D24ED9">
        <w:rPr>
          <w:lang w:val="es-ES"/>
        </w:rPr>
        <w:t>algunos autores señalaron anteriormente</w:t>
      </w:r>
      <w:r w:rsidR="00C631DB" w:rsidRPr="004775A5">
        <w:rPr>
          <w:lang w:val="es-ES"/>
        </w:rPr>
        <w:t xml:space="preserve"> </w:t>
      </w:r>
      <w:r w:rsidR="00C631DB" w:rsidRPr="004775A5">
        <w:rPr>
          <w:lang w:val="es-ES"/>
        </w:rPr>
        <w:fldChar w:fldCharType="begin" w:fldLock="1"/>
      </w:r>
      <w:r w:rsidR="00C631DB" w:rsidRPr="004775A5">
        <w:rPr>
          <w:lang w:val="es-ES"/>
        </w:rPr>
        <w:instrText>ADDIN CSL_CITATION { "citationItems" : [ { "id" : "ITEM-1", "itemData" : { "DOI" : "10.1016/j.indcrop.2015.01.019", "ISSN" : "09266690", "author" : [ { "dropping-particle" : "", "family" : "Janatova", "given" : "Anezka", "non-dropping-particle" : "", "parse-names" : false, "suffix" : "" }, { "dropping-particle" : "", "family" : "Bernardos", "given" : "Andrea", "non-dropping-particle" : "", "parse-names" : false, "suffix" : "" }, { "dropping-particle" : "", "family" : "Smid", "given" : "Jakub", "non-dropping-particle" : "", "parse-names" : false, "suffix" : "" }, { "dropping-particle" : "", "family" : "Frankova", "given" : "Adela", "non-dropping-particle" : "", "parse-names" : false, "suffix" : "" }, { "dropping-particle" : "", "family" : "Lhotka", "given" : "Miloslav", "non-dropping-particle" : "", "parse-names" : false, "suffix" : "" }, { "dropping-particle" : "", "family" : "Kourimsk\u00e1", "given" : "Lenka", "non-dropping-particle" : "", "parse-names" : false, "suffix" : "" }, { "dropping-particle" : "", "family" : "Pulkrabek", "given" : "Josef", "non-dropping-particle" : "", "parse-names" : false, "suffix" : "" }, { "dropping-particle" : "", "family" : "Kloucek", "given" : "Pavel", "non-dropping-particle" : "", "parse-names" : false, "suffix" : "" } ], "container-title" : "Industrial Crops and Products", "id" : "ITEM-1", "issued" : { "date-parts" : [ [ "2015" ] ] }, "page" : "216-220", "publisher" : "Elsevier B.V.", "title" : "Long-term antifungal activity of volatile essential oil components released from mesoporous silica materials", "type" : "article-journal", "volume" : "67" }, "uris" : [ "http://www.mendeley.com/documents/?uuid=e3250c7d-9212-432e-9f72-6497f64d3636" ] } ], "mendeley" : { "formattedCitation" : "(Janatova et al. 2015)", "plainTextFormattedCitation" : "(Janatova et al. 2015)", "previouslyFormattedCitation" : "(Janatova et al. 2015)" }, "properties" : { "noteIndex" : 0 }, "schema" : "https://github.com/citation-style-language/schema/raw/master/csl-citation.json" }</w:instrText>
      </w:r>
      <w:r w:rsidR="00C631DB" w:rsidRPr="004775A5">
        <w:rPr>
          <w:lang w:val="es-ES"/>
        </w:rPr>
        <w:fldChar w:fldCharType="separate"/>
      </w:r>
      <w:r w:rsidR="00C631DB" w:rsidRPr="004775A5">
        <w:rPr>
          <w:noProof/>
          <w:lang w:val="es-ES"/>
        </w:rPr>
        <w:t>(Janatova et al. 2015)</w:t>
      </w:r>
      <w:r w:rsidR="00C631DB" w:rsidRPr="004775A5">
        <w:rPr>
          <w:lang w:val="es-ES"/>
        </w:rPr>
        <w:fldChar w:fldCharType="end"/>
      </w:r>
      <w:r w:rsidR="00486C14" w:rsidRPr="004775A5">
        <w:rPr>
          <w:lang w:val="es-ES"/>
        </w:rPr>
        <w:t>.</w:t>
      </w:r>
      <w:r w:rsidR="00CF2BB4">
        <w:rPr>
          <w:lang w:val="es-ES"/>
        </w:rPr>
        <w:t xml:space="preserve"> </w:t>
      </w:r>
    </w:p>
    <w:p w:rsidR="00D863ED" w:rsidRDefault="00D863ED" w:rsidP="00234195">
      <w:pPr>
        <w:spacing w:after="0" w:line="240" w:lineRule="auto"/>
        <w:rPr>
          <w:lang w:val="es-ES"/>
        </w:rPr>
      </w:pPr>
    </w:p>
    <w:p w:rsidR="00486C14" w:rsidRPr="00300851" w:rsidRDefault="00486C14" w:rsidP="00486C14">
      <w:pPr>
        <w:pStyle w:val="Caption"/>
        <w:keepNext/>
        <w:spacing w:after="0"/>
        <w:jc w:val="center"/>
        <w:rPr>
          <w:color w:val="auto"/>
          <w:sz w:val="22"/>
          <w:szCs w:val="22"/>
          <w:lang w:val="es-ES"/>
        </w:rPr>
      </w:pPr>
      <w:r w:rsidRPr="00300851">
        <w:rPr>
          <w:color w:val="auto"/>
          <w:sz w:val="22"/>
          <w:szCs w:val="22"/>
          <w:lang w:val="es-ES"/>
        </w:rPr>
        <w:t xml:space="preserve">Tabla </w:t>
      </w:r>
      <w:r w:rsidR="000A4069">
        <w:rPr>
          <w:color w:val="auto"/>
          <w:sz w:val="22"/>
          <w:szCs w:val="22"/>
          <w:lang w:val="es-ES"/>
        </w:rPr>
        <w:t>5</w:t>
      </w:r>
      <w:r w:rsidRPr="00300851">
        <w:rPr>
          <w:color w:val="auto"/>
          <w:sz w:val="22"/>
          <w:szCs w:val="22"/>
          <w:lang w:val="es-ES"/>
        </w:rPr>
        <w:t xml:space="preserve">. </w:t>
      </w:r>
      <w:r w:rsidR="0058456F" w:rsidRPr="0058456F">
        <w:rPr>
          <w:b w:val="0"/>
          <w:color w:val="auto"/>
          <w:sz w:val="22"/>
          <w:szCs w:val="22"/>
          <w:lang w:val="es-ES"/>
        </w:rPr>
        <w:t>Recuento</w:t>
      </w:r>
      <w:r w:rsidR="0058456F">
        <w:rPr>
          <w:b w:val="0"/>
          <w:color w:val="auto"/>
          <w:sz w:val="22"/>
          <w:szCs w:val="22"/>
          <w:lang w:val="es-ES"/>
        </w:rPr>
        <w:t xml:space="preserve"> </w:t>
      </w:r>
      <w:r w:rsidR="0058456F" w:rsidRPr="0058456F">
        <w:rPr>
          <w:b w:val="0"/>
          <w:i/>
          <w:color w:val="auto"/>
          <w:sz w:val="22"/>
          <w:szCs w:val="22"/>
          <w:lang w:val="es-ES"/>
        </w:rPr>
        <w:t>E. Coli</w:t>
      </w:r>
      <w:r w:rsidR="0058456F">
        <w:rPr>
          <w:b w:val="0"/>
          <w:i/>
          <w:color w:val="auto"/>
          <w:sz w:val="22"/>
          <w:szCs w:val="22"/>
          <w:lang w:val="es-ES"/>
        </w:rPr>
        <w:t>,</w:t>
      </w:r>
      <w:r w:rsidR="0058456F">
        <w:rPr>
          <w:b w:val="0"/>
          <w:color w:val="auto"/>
          <w:sz w:val="22"/>
          <w:szCs w:val="22"/>
          <w:lang w:val="es-ES"/>
        </w:rPr>
        <w:t xml:space="preserve"> expuesto a</w:t>
      </w:r>
      <w:r w:rsidRPr="008E4461">
        <w:rPr>
          <w:b w:val="0"/>
          <w:color w:val="auto"/>
          <w:sz w:val="22"/>
          <w:szCs w:val="22"/>
          <w:lang w:val="es-ES"/>
        </w:rPr>
        <w:t xml:space="preserve"> DADS libre y encapsulado</w:t>
      </w:r>
      <w:r w:rsidR="0058456F">
        <w:rPr>
          <w:b w:val="0"/>
          <w:color w:val="auto"/>
          <w:sz w:val="22"/>
          <w:szCs w:val="22"/>
          <w:lang w:val="es-ES"/>
        </w:rPr>
        <w:t xml:space="preserve">, </w:t>
      </w:r>
      <w:r w:rsidR="0058456F">
        <w:rPr>
          <w:b w:val="0"/>
          <w:color w:val="auto"/>
          <w:sz w:val="22"/>
          <w:szCs w:val="22"/>
          <w:lang w:val="es-ES"/>
        </w:rPr>
        <w:br/>
        <w:t>expresado como log</w:t>
      </w:r>
      <w:r w:rsidR="00C206C9">
        <w:rPr>
          <w:b w:val="0"/>
          <w:color w:val="auto"/>
          <w:sz w:val="22"/>
          <w:szCs w:val="22"/>
          <w:lang w:val="es-ES"/>
        </w:rPr>
        <w:t>10</w:t>
      </w:r>
      <w:r w:rsidR="0058456F">
        <w:rPr>
          <w:b w:val="0"/>
          <w:color w:val="auto"/>
          <w:sz w:val="22"/>
          <w:szCs w:val="22"/>
          <w:lang w:val="es-ES"/>
        </w:rPr>
        <w:t xml:space="preserve"> </w:t>
      </w:r>
      <w:r w:rsidR="00C206C9">
        <w:rPr>
          <w:b w:val="0"/>
          <w:color w:val="auto"/>
          <w:sz w:val="22"/>
          <w:szCs w:val="22"/>
          <w:lang w:val="es-ES"/>
        </w:rPr>
        <w:t>(</w:t>
      </w:r>
      <w:r w:rsidR="0058456F">
        <w:rPr>
          <w:b w:val="0"/>
          <w:color w:val="auto"/>
          <w:sz w:val="22"/>
          <w:szCs w:val="22"/>
          <w:lang w:val="es-ES"/>
        </w:rPr>
        <w:t>ufc/m</w:t>
      </w:r>
      <w:r w:rsidR="00C206C9">
        <w:rPr>
          <w:b w:val="0"/>
          <w:color w:val="auto"/>
          <w:sz w:val="22"/>
          <w:szCs w:val="22"/>
          <w:lang w:val="es-ES"/>
        </w:rPr>
        <w:t>L)</w:t>
      </w:r>
      <w:r w:rsidRPr="008E4461">
        <w:rPr>
          <w:b w:val="0"/>
          <w:color w:val="auto"/>
          <w:sz w:val="22"/>
          <w:szCs w:val="22"/>
          <w:lang w:val="es-ES"/>
        </w:rPr>
        <w:t xml:space="preserve"> </w:t>
      </w:r>
      <w:r w:rsidR="00C206C9">
        <w:rPr>
          <w:b w:val="0"/>
          <w:color w:val="auto"/>
          <w:sz w:val="22"/>
          <w:szCs w:val="22"/>
          <w:lang w:val="es-ES"/>
        </w:rPr>
        <w:t>.</w:t>
      </w:r>
    </w:p>
    <w:tbl>
      <w:tblPr>
        <w:tblStyle w:val="TableGrid"/>
        <w:tblW w:w="6834" w:type="dxa"/>
        <w:jc w:val="center"/>
        <w:tblLook w:val="04A0" w:firstRow="1" w:lastRow="0" w:firstColumn="1" w:lastColumn="0" w:noHBand="0" w:noVBand="1"/>
      </w:tblPr>
      <w:tblGrid>
        <w:gridCol w:w="2515"/>
        <w:gridCol w:w="1365"/>
        <w:gridCol w:w="1477"/>
        <w:gridCol w:w="1477"/>
      </w:tblGrid>
      <w:tr w:rsidR="00486C14" w:rsidRPr="00486C14" w:rsidTr="00330F36">
        <w:trPr>
          <w:trHeight w:val="569"/>
          <w:jc w:val="center"/>
        </w:trPr>
        <w:tc>
          <w:tcPr>
            <w:tcW w:w="2515" w:type="dxa"/>
            <w:vAlign w:val="center"/>
          </w:tcPr>
          <w:p w:rsidR="00486C14" w:rsidRPr="00486C14" w:rsidRDefault="00486C14" w:rsidP="00330F36">
            <w:pPr>
              <w:ind w:firstLine="0"/>
              <w:jc w:val="right"/>
              <w:rPr>
                <w:rFonts w:eastAsiaTheme="minorEastAsia" w:cs="Arial"/>
                <w:b/>
                <w:lang w:val="es-ES" w:bidi="en-US"/>
              </w:rPr>
            </w:pPr>
            <w:r w:rsidRPr="00486C14">
              <w:rPr>
                <w:rFonts w:eastAsiaTheme="minorEastAsia" w:cs="Arial"/>
                <w:b/>
                <w:lang w:val="es-ES" w:bidi="en-US"/>
              </w:rPr>
              <w:t>Concentración</w:t>
            </w:r>
          </w:p>
          <w:p w:rsidR="00486C14" w:rsidRPr="00486C14" w:rsidRDefault="00486C14" w:rsidP="00330F36">
            <w:pPr>
              <w:ind w:firstLine="0"/>
              <w:jc w:val="right"/>
              <w:rPr>
                <w:rFonts w:eastAsiaTheme="minorEastAsia" w:cs="Arial"/>
                <w:b/>
                <w:lang w:val="es-ES" w:bidi="en-US"/>
              </w:rPr>
            </w:pPr>
            <w:r w:rsidRPr="00486C14">
              <w:rPr>
                <w:rFonts w:eastAsiaTheme="minorEastAsia" w:cs="Arial"/>
                <w:b/>
                <w:lang w:val="es-ES" w:bidi="en-US"/>
              </w:rPr>
              <w:t>DADS (mg/mL)</w:t>
            </w:r>
          </w:p>
        </w:tc>
        <w:tc>
          <w:tcPr>
            <w:tcW w:w="1365" w:type="dxa"/>
            <w:vAlign w:val="center"/>
          </w:tcPr>
          <w:p w:rsidR="00486C14" w:rsidRPr="00486C14" w:rsidRDefault="00486C14" w:rsidP="00486C14">
            <w:pPr>
              <w:ind w:firstLine="0"/>
              <w:jc w:val="center"/>
              <w:rPr>
                <w:rFonts w:eastAsiaTheme="minorEastAsia" w:cs="Arial"/>
                <w:b/>
                <w:lang w:val="es-ES" w:bidi="en-US"/>
              </w:rPr>
            </w:pPr>
            <w:r w:rsidRPr="00486C14">
              <w:rPr>
                <w:rFonts w:eastAsiaTheme="minorEastAsia" w:cs="Arial"/>
                <w:b/>
                <w:lang w:val="es-ES" w:bidi="en-US"/>
              </w:rPr>
              <w:t>0</w:t>
            </w:r>
          </w:p>
        </w:tc>
        <w:tc>
          <w:tcPr>
            <w:tcW w:w="1477" w:type="dxa"/>
            <w:vAlign w:val="center"/>
          </w:tcPr>
          <w:p w:rsidR="00486C14" w:rsidRPr="00486C14" w:rsidRDefault="000A4069" w:rsidP="00486C14">
            <w:pPr>
              <w:ind w:firstLine="0"/>
              <w:jc w:val="center"/>
              <w:rPr>
                <w:rFonts w:eastAsiaTheme="minorEastAsia" w:cs="Arial"/>
                <w:b/>
                <w:lang w:val="es-ES" w:bidi="en-US"/>
              </w:rPr>
            </w:pPr>
            <w:r>
              <w:rPr>
                <w:rFonts w:eastAsiaTheme="minorEastAsia" w:cs="Arial"/>
                <w:b/>
                <w:lang w:val="es-ES" w:bidi="en-US"/>
              </w:rPr>
              <w:t>4</w:t>
            </w:r>
          </w:p>
        </w:tc>
        <w:tc>
          <w:tcPr>
            <w:tcW w:w="1477" w:type="dxa"/>
            <w:vAlign w:val="center"/>
          </w:tcPr>
          <w:p w:rsidR="00486C14" w:rsidRPr="00486C14" w:rsidRDefault="000A4069" w:rsidP="00486C14">
            <w:pPr>
              <w:ind w:firstLine="0"/>
              <w:jc w:val="center"/>
              <w:rPr>
                <w:rFonts w:eastAsiaTheme="minorEastAsia" w:cs="Arial"/>
                <w:b/>
                <w:lang w:val="es-ES" w:bidi="en-US"/>
              </w:rPr>
            </w:pPr>
            <w:r>
              <w:rPr>
                <w:rFonts w:eastAsiaTheme="minorEastAsia" w:cs="Arial"/>
                <w:b/>
                <w:lang w:val="es-ES" w:bidi="en-US"/>
              </w:rPr>
              <w:t>6</w:t>
            </w:r>
          </w:p>
        </w:tc>
      </w:tr>
      <w:tr w:rsidR="00486C14" w:rsidRPr="00486C14" w:rsidTr="00330F36">
        <w:trPr>
          <w:trHeight w:val="437"/>
          <w:jc w:val="center"/>
        </w:trPr>
        <w:tc>
          <w:tcPr>
            <w:tcW w:w="2515" w:type="dxa"/>
            <w:vAlign w:val="center"/>
          </w:tcPr>
          <w:p w:rsidR="00486C14" w:rsidRPr="00486C14" w:rsidRDefault="00486C14" w:rsidP="00330F36">
            <w:pPr>
              <w:ind w:hanging="23"/>
              <w:rPr>
                <w:rFonts w:eastAsiaTheme="minorEastAsia" w:cs="Arial"/>
                <w:lang w:val="es-ES" w:bidi="en-US"/>
              </w:rPr>
            </w:pPr>
            <w:r w:rsidRPr="00486C14">
              <w:rPr>
                <w:rFonts w:eastAsiaTheme="minorEastAsia" w:cs="Arial"/>
                <w:lang w:val="es-ES" w:bidi="en-US"/>
              </w:rPr>
              <w:t>DADS Libre</w:t>
            </w:r>
          </w:p>
        </w:tc>
        <w:tc>
          <w:tcPr>
            <w:tcW w:w="1365" w:type="dxa"/>
            <w:vAlign w:val="center"/>
          </w:tcPr>
          <w:p w:rsidR="00486C14" w:rsidRPr="00486C14" w:rsidRDefault="00330F36" w:rsidP="004775A5">
            <w:pPr>
              <w:ind w:firstLine="0"/>
              <w:jc w:val="center"/>
              <w:rPr>
                <w:rFonts w:eastAsiaTheme="minorEastAsia" w:cs="Arial"/>
                <w:lang w:val="es-ES" w:bidi="en-US"/>
              </w:rPr>
            </w:pPr>
            <w:r>
              <w:rPr>
                <w:rFonts w:eastAsiaTheme="minorEastAsia" w:cs="Arial"/>
                <w:color w:val="000000"/>
                <w:lang w:val="es-ES" w:bidi="en-US"/>
              </w:rPr>
              <w:t>8.3</w:t>
            </w:r>
            <w:r w:rsidR="00FF276F">
              <w:rPr>
                <w:rFonts w:eastAsiaTheme="minorEastAsia" w:cs="Arial"/>
                <w:color w:val="000000"/>
                <w:lang w:val="es-ES" w:bidi="en-US"/>
              </w:rPr>
              <w:t xml:space="preserve"> </w:t>
            </w:r>
            <w:r w:rsidR="00FF276F">
              <w:rPr>
                <w:rFonts w:cs="Arial"/>
                <w:color w:val="000000"/>
                <w:sz w:val="22"/>
                <w:lang w:val="es-ES"/>
              </w:rPr>
              <w:t>± 0.0</w:t>
            </w:r>
          </w:p>
        </w:tc>
        <w:tc>
          <w:tcPr>
            <w:tcW w:w="1477" w:type="dxa"/>
            <w:vAlign w:val="center"/>
          </w:tcPr>
          <w:p w:rsidR="00486C14" w:rsidRPr="00486C14" w:rsidRDefault="00330F36" w:rsidP="00FF276F">
            <w:pPr>
              <w:ind w:firstLine="0"/>
              <w:jc w:val="center"/>
              <w:rPr>
                <w:rFonts w:eastAsiaTheme="minorEastAsia" w:cs="Arial"/>
                <w:color w:val="000000"/>
                <w:lang w:val="es-ES" w:bidi="en-US"/>
              </w:rPr>
            </w:pPr>
            <w:r>
              <w:rPr>
                <w:rFonts w:eastAsiaTheme="minorEastAsia" w:cs="Arial"/>
                <w:color w:val="000000"/>
                <w:lang w:val="es-ES" w:bidi="en-US"/>
              </w:rPr>
              <w:t>8.23</w:t>
            </w:r>
            <w:r w:rsidR="00FF276F">
              <w:rPr>
                <w:rFonts w:eastAsiaTheme="minorEastAsia" w:cs="Arial"/>
                <w:color w:val="000000"/>
                <w:lang w:val="es-ES" w:bidi="en-US"/>
              </w:rPr>
              <w:t xml:space="preserve"> </w:t>
            </w:r>
            <w:r w:rsidR="00FF276F">
              <w:rPr>
                <w:rFonts w:cs="Arial"/>
                <w:color w:val="000000"/>
                <w:sz w:val="22"/>
                <w:lang w:val="es-ES"/>
              </w:rPr>
              <w:t>± 0.02</w:t>
            </w:r>
          </w:p>
        </w:tc>
        <w:tc>
          <w:tcPr>
            <w:tcW w:w="1477" w:type="dxa"/>
            <w:vAlign w:val="center"/>
          </w:tcPr>
          <w:p w:rsidR="00486C14" w:rsidRPr="00486C14" w:rsidRDefault="00330F36" w:rsidP="000A4069">
            <w:pPr>
              <w:ind w:firstLine="0"/>
              <w:jc w:val="center"/>
              <w:rPr>
                <w:rFonts w:eastAsiaTheme="minorEastAsia" w:cs="Arial"/>
                <w:lang w:val="es-ES" w:bidi="en-US"/>
              </w:rPr>
            </w:pPr>
            <w:r>
              <w:rPr>
                <w:rFonts w:eastAsiaTheme="minorEastAsia" w:cs="Arial"/>
                <w:color w:val="000000"/>
                <w:lang w:val="es-ES" w:bidi="en-US"/>
              </w:rPr>
              <w:t>8.18</w:t>
            </w:r>
            <w:r w:rsidR="00FF276F">
              <w:rPr>
                <w:rFonts w:eastAsiaTheme="minorEastAsia" w:cs="Arial"/>
                <w:color w:val="000000"/>
                <w:lang w:val="es-ES" w:bidi="en-US"/>
              </w:rPr>
              <w:t xml:space="preserve"> </w:t>
            </w:r>
            <w:r w:rsidR="00FF276F">
              <w:rPr>
                <w:rFonts w:cs="Arial"/>
                <w:color w:val="000000"/>
                <w:sz w:val="22"/>
                <w:lang w:val="es-ES"/>
              </w:rPr>
              <w:t>± 0.18</w:t>
            </w:r>
          </w:p>
        </w:tc>
      </w:tr>
      <w:tr w:rsidR="000A4069" w:rsidRPr="004775A5" w:rsidTr="00330F36">
        <w:trPr>
          <w:trHeight w:val="557"/>
          <w:jc w:val="center"/>
        </w:trPr>
        <w:tc>
          <w:tcPr>
            <w:tcW w:w="2515" w:type="dxa"/>
            <w:vAlign w:val="center"/>
          </w:tcPr>
          <w:p w:rsidR="000A4069" w:rsidRPr="00486C14" w:rsidRDefault="000A4069" w:rsidP="00330F36">
            <w:pPr>
              <w:ind w:hanging="23"/>
              <w:rPr>
                <w:rFonts w:eastAsiaTheme="minorEastAsia" w:cs="Arial"/>
                <w:lang w:val="es-ES" w:bidi="en-US"/>
              </w:rPr>
            </w:pPr>
            <w:r w:rsidRPr="00486C14">
              <w:rPr>
                <w:rFonts w:eastAsiaTheme="minorEastAsia" w:cs="Arial"/>
                <w:lang w:val="es-ES" w:bidi="en-US"/>
              </w:rPr>
              <w:t>DADS Encapsulado</w:t>
            </w:r>
          </w:p>
        </w:tc>
        <w:tc>
          <w:tcPr>
            <w:tcW w:w="1365" w:type="dxa"/>
            <w:vAlign w:val="center"/>
          </w:tcPr>
          <w:p w:rsidR="000A4069" w:rsidRPr="00486C14" w:rsidRDefault="00330F36" w:rsidP="000A4069">
            <w:pPr>
              <w:ind w:firstLine="0"/>
              <w:jc w:val="center"/>
              <w:rPr>
                <w:rFonts w:eastAsiaTheme="minorEastAsia" w:cs="Arial"/>
                <w:lang w:val="es-ES" w:bidi="en-US"/>
              </w:rPr>
            </w:pPr>
            <w:r>
              <w:rPr>
                <w:rFonts w:eastAsiaTheme="minorEastAsia" w:cs="Arial"/>
                <w:color w:val="000000"/>
                <w:lang w:val="es-ES" w:bidi="en-US"/>
              </w:rPr>
              <w:t>8.3</w:t>
            </w:r>
            <w:r w:rsidR="00FF276F">
              <w:rPr>
                <w:rFonts w:eastAsiaTheme="minorEastAsia" w:cs="Arial"/>
                <w:color w:val="000000"/>
                <w:lang w:val="es-ES" w:bidi="en-US"/>
              </w:rPr>
              <w:t xml:space="preserve"> </w:t>
            </w:r>
            <w:r w:rsidR="00FF276F">
              <w:rPr>
                <w:rFonts w:cs="Arial"/>
                <w:color w:val="000000"/>
                <w:sz w:val="22"/>
                <w:lang w:val="es-ES"/>
              </w:rPr>
              <w:t>± 0.0</w:t>
            </w:r>
          </w:p>
        </w:tc>
        <w:tc>
          <w:tcPr>
            <w:tcW w:w="1477" w:type="dxa"/>
            <w:vAlign w:val="center"/>
          </w:tcPr>
          <w:p w:rsidR="000A4069" w:rsidRPr="00486C14" w:rsidRDefault="00330F36" w:rsidP="00C206C9">
            <w:pPr>
              <w:ind w:firstLine="0"/>
              <w:jc w:val="center"/>
              <w:rPr>
                <w:rFonts w:eastAsiaTheme="minorEastAsia" w:cs="Arial"/>
                <w:color w:val="000000"/>
                <w:lang w:val="es-ES" w:bidi="en-US"/>
              </w:rPr>
            </w:pPr>
            <w:r>
              <w:rPr>
                <w:rFonts w:eastAsiaTheme="minorEastAsia" w:cs="Arial"/>
                <w:color w:val="000000"/>
                <w:lang w:val="es-ES" w:bidi="en-US"/>
              </w:rPr>
              <w:t>7</w:t>
            </w:r>
            <w:r w:rsidR="0058456F">
              <w:rPr>
                <w:rFonts w:eastAsiaTheme="minorEastAsia" w:cs="Arial"/>
                <w:color w:val="000000"/>
                <w:lang w:val="es-ES" w:bidi="en-US"/>
              </w:rPr>
              <w:t>.00</w:t>
            </w:r>
            <w:r w:rsidR="00FF276F">
              <w:rPr>
                <w:rFonts w:eastAsiaTheme="minorEastAsia" w:cs="Arial"/>
                <w:color w:val="000000"/>
                <w:lang w:val="es-ES" w:bidi="en-US"/>
              </w:rPr>
              <w:t xml:space="preserve"> </w:t>
            </w:r>
            <w:r w:rsidR="00FF276F">
              <w:rPr>
                <w:rFonts w:cs="Arial"/>
                <w:color w:val="000000"/>
                <w:sz w:val="22"/>
                <w:lang w:val="es-ES"/>
              </w:rPr>
              <w:t xml:space="preserve">± </w:t>
            </w:r>
            <w:r w:rsidR="00C206C9">
              <w:rPr>
                <w:rFonts w:cs="Arial"/>
                <w:color w:val="000000"/>
                <w:sz w:val="22"/>
                <w:lang w:val="es-ES"/>
              </w:rPr>
              <w:t>0.14</w:t>
            </w:r>
            <w:r w:rsidR="00FF276F">
              <w:rPr>
                <w:rFonts w:eastAsiaTheme="minorEastAsia" w:cs="Arial"/>
                <w:color w:val="000000"/>
                <w:lang w:val="es-ES" w:bidi="en-US"/>
              </w:rPr>
              <w:t xml:space="preserve"> </w:t>
            </w:r>
          </w:p>
        </w:tc>
        <w:tc>
          <w:tcPr>
            <w:tcW w:w="1477" w:type="dxa"/>
            <w:vAlign w:val="center"/>
          </w:tcPr>
          <w:p w:rsidR="000A4069" w:rsidRPr="00486C14" w:rsidRDefault="00330F36" w:rsidP="000A4069">
            <w:pPr>
              <w:ind w:firstLine="0"/>
              <w:jc w:val="center"/>
              <w:rPr>
                <w:rFonts w:eastAsiaTheme="minorEastAsia" w:cs="Arial"/>
                <w:lang w:val="es-ES" w:bidi="en-US"/>
              </w:rPr>
            </w:pPr>
            <w:r>
              <w:rPr>
                <w:rFonts w:eastAsiaTheme="minorEastAsia" w:cs="Arial"/>
                <w:color w:val="000000"/>
                <w:lang w:val="es-ES" w:bidi="en-US"/>
              </w:rPr>
              <w:t>6.98</w:t>
            </w:r>
            <w:r w:rsidR="00FF276F">
              <w:rPr>
                <w:rFonts w:eastAsiaTheme="minorEastAsia" w:cs="Arial"/>
                <w:color w:val="000000"/>
                <w:lang w:val="es-ES" w:bidi="en-US"/>
              </w:rPr>
              <w:t xml:space="preserve"> </w:t>
            </w:r>
            <w:r w:rsidR="00C206C9">
              <w:rPr>
                <w:rFonts w:cs="Arial"/>
                <w:color w:val="000000"/>
                <w:sz w:val="22"/>
                <w:lang w:val="es-ES"/>
              </w:rPr>
              <w:t>± 0.16</w:t>
            </w:r>
          </w:p>
        </w:tc>
      </w:tr>
    </w:tbl>
    <w:p w:rsidR="00D24ED9" w:rsidRDefault="00D24ED9" w:rsidP="00D24ED9">
      <w:pPr>
        <w:spacing w:after="0" w:line="240" w:lineRule="auto"/>
        <w:rPr>
          <w:lang w:val="es-ES"/>
        </w:rPr>
      </w:pPr>
    </w:p>
    <w:p w:rsidR="00D24ED9" w:rsidRDefault="00D24ED9" w:rsidP="00D24ED9">
      <w:pPr>
        <w:spacing w:after="0" w:line="240" w:lineRule="auto"/>
        <w:rPr>
          <w:lang w:val="es-ES"/>
        </w:rPr>
      </w:pPr>
      <w:r>
        <w:rPr>
          <w:lang w:val="es-ES"/>
        </w:rPr>
        <w:t>Sin embargo, los datos obtenidos con los sólidos funcionalizados no se muestran ya que no hubo una buena repetitividad de los resultados, tal y como sucedió con las pruebas de liberación. Así que es necesario ampliar los estudios para evaluar con detalle este tipo de sólidos y comprobar si la actividad biocida del compuesto encapsulado se mantiene.</w:t>
      </w:r>
    </w:p>
    <w:p w:rsidR="00486C14" w:rsidRDefault="00486C14" w:rsidP="00234195">
      <w:pPr>
        <w:spacing w:after="0" w:line="240" w:lineRule="auto"/>
        <w:rPr>
          <w:color w:val="FF0000"/>
          <w:lang w:val="es-ES"/>
        </w:rPr>
      </w:pPr>
    </w:p>
    <w:p w:rsidR="00D8110A" w:rsidRDefault="00D8110A" w:rsidP="004775A5">
      <w:pPr>
        <w:pStyle w:val="Heading1"/>
      </w:pPr>
      <w:bookmarkStart w:id="59" w:name="_Toc429397071"/>
      <w:r w:rsidRPr="004775A5">
        <w:t>CONCLUSIONES</w:t>
      </w:r>
      <w:bookmarkEnd w:id="59"/>
    </w:p>
    <w:p w:rsidR="00F9746D" w:rsidRDefault="00D8110A" w:rsidP="00234195">
      <w:pPr>
        <w:spacing w:after="0" w:line="240" w:lineRule="auto"/>
        <w:ind w:firstLine="284"/>
        <w:rPr>
          <w:rFonts w:cs="Arial"/>
          <w:szCs w:val="24"/>
          <w:lang w:val="es-ES"/>
        </w:rPr>
      </w:pPr>
      <w:r w:rsidRPr="00375713">
        <w:rPr>
          <w:rFonts w:cs="Arial"/>
          <w:szCs w:val="24"/>
          <w:lang w:val="es-ES"/>
        </w:rPr>
        <w:t xml:space="preserve">Este proyecto logró definir un sólido y un sistema de encapsulado en el que fue posible liberar </w:t>
      </w:r>
      <w:r w:rsidR="00F9746D">
        <w:rPr>
          <w:rFonts w:cs="Arial"/>
          <w:szCs w:val="24"/>
          <w:lang w:val="es-ES"/>
        </w:rPr>
        <w:t>hasta</w:t>
      </w:r>
      <w:r w:rsidR="006764B7" w:rsidRPr="00375713">
        <w:rPr>
          <w:rFonts w:cs="Arial"/>
          <w:szCs w:val="24"/>
          <w:lang w:val="es-ES"/>
        </w:rPr>
        <w:t xml:space="preserve"> </w:t>
      </w:r>
      <w:r w:rsidRPr="00375713">
        <w:rPr>
          <w:rFonts w:cs="Arial"/>
          <w:szCs w:val="24"/>
          <w:lang w:val="es-ES"/>
        </w:rPr>
        <w:t>un 80% del DADS cargado inicialmente.</w:t>
      </w:r>
      <w:r w:rsidR="00FD496D">
        <w:rPr>
          <w:rFonts w:cs="Arial"/>
          <w:szCs w:val="24"/>
          <w:lang w:val="es-ES"/>
        </w:rPr>
        <w:t xml:space="preserve"> </w:t>
      </w:r>
    </w:p>
    <w:p w:rsidR="00D8110A" w:rsidRPr="00375713" w:rsidRDefault="00F9746D" w:rsidP="00234195">
      <w:pPr>
        <w:spacing w:after="0" w:line="240" w:lineRule="auto"/>
        <w:ind w:firstLine="284"/>
        <w:rPr>
          <w:rFonts w:cs="Arial"/>
          <w:szCs w:val="24"/>
          <w:lang w:val="es-ES"/>
        </w:rPr>
      </w:pPr>
      <w:r>
        <w:rPr>
          <w:rFonts w:cs="Arial"/>
          <w:szCs w:val="24"/>
          <w:lang w:val="es-ES"/>
        </w:rPr>
        <w:t>Se identificó que</w:t>
      </w:r>
      <w:r w:rsidR="00FD496D">
        <w:rPr>
          <w:rFonts w:cs="Arial"/>
          <w:szCs w:val="24"/>
          <w:lang w:val="es-ES"/>
        </w:rPr>
        <w:t xml:space="preserve"> el rendimiento de liberación varía en función de la concentración de la solución que se encapsula y del ciclo de cargas que se hagan sobre el sólido.</w:t>
      </w:r>
    </w:p>
    <w:p w:rsidR="00D8110A" w:rsidRPr="00375713" w:rsidRDefault="00FD496D" w:rsidP="00234195">
      <w:pPr>
        <w:spacing w:after="0" w:line="240" w:lineRule="auto"/>
        <w:ind w:firstLine="284"/>
        <w:rPr>
          <w:rFonts w:cs="Arial"/>
          <w:szCs w:val="24"/>
          <w:lang w:val="es-ES"/>
        </w:rPr>
      </w:pPr>
      <w:r>
        <w:rPr>
          <w:rFonts w:cs="Arial"/>
          <w:szCs w:val="24"/>
          <w:lang w:val="es-ES"/>
        </w:rPr>
        <w:t>S</w:t>
      </w:r>
      <w:r w:rsidR="00D8110A" w:rsidRPr="00375713">
        <w:rPr>
          <w:rFonts w:cs="Arial"/>
          <w:szCs w:val="24"/>
          <w:lang w:val="es-ES"/>
        </w:rPr>
        <w:t xml:space="preserve">e </w:t>
      </w:r>
      <w:r>
        <w:rPr>
          <w:rFonts w:cs="Arial"/>
          <w:szCs w:val="24"/>
          <w:lang w:val="es-ES"/>
        </w:rPr>
        <w:t>comprobó la efectividad de un sistema de puertas moleculares, basado en la funcionalización de aminas</w:t>
      </w:r>
      <w:r w:rsidR="007412FA">
        <w:rPr>
          <w:rFonts w:cs="Arial"/>
          <w:szCs w:val="24"/>
          <w:lang w:val="es-ES"/>
        </w:rPr>
        <w:t>;</w:t>
      </w:r>
      <w:r>
        <w:rPr>
          <w:rFonts w:cs="Arial"/>
          <w:szCs w:val="24"/>
          <w:lang w:val="es-ES"/>
        </w:rPr>
        <w:t xml:space="preserve"> </w:t>
      </w:r>
      <w:r w:rsidR="007412FA">
        <w:rPr>
          <w:rFonts w:cs="Arial"/>
          <w:szCs w:val="24"/>
          <w:lang w:val="es-ES"/>
        </w:rPr>
        <w:t>q</w:t>
      </w:r>
      <w:r>
        <w:rPr>
          <w:rFonts w:cs="Arial"/>
          <w:szCs w:val="24"/>
          <w:lang w:val="es-ES"/>
        </w:rPr>
        <w:t>ue controlan la liberación</w:t>
      </w:r>
      <w:r w:rsidR="00D8110A" w:rsidRPr="00375713">
        <w:rPr>
          <w:rFonts w:cs="Arial"/>
          <w:szCs w:val="24"/>
          <w:lang w:val="es-ES"/>
        </w:rPr>
        <w:t xml:space="preserve"> </w:t>
      </w:r>
      <w:r>
        <w:rPr>
          <w:rFonts w:cs="Arial"/>
          <w:szCs w:val="24"/>
          <w:lang w:val="es-ES"/>
        </w:rPr>
        <w:t>por</w:t>
      </w:r>
      <w:r w:rsidR="00D8110A" w:rsidRPr="00375713">
        <w:rPr>
          <w:rFonts w:cs="Arial"/>
          <w:szCs w:val="24"/>
          <w:lang w:val="es-ES"/>
        </w:rPr>
        <w:t xml:space="preserve"> cambios de pH. </w:t>
      </w:r>
      <w:r w:rsidR="00F9746D">
        <w:rPr>
          <w:rFonts w:cs="Arial"/>
          <w:szCs w:val="24"/>
          <w:lang w:val="es-ES"/>
        </w:rPr>
        <w:t xml:space="preserve">No obstante </w:t>
      </w:r>
      <w:r w:rsidR="00D8110A" w:rsidRPr="00375713">
        <w:rPr>
          <w:rFonts w:cs="Arial"/>
          <w:szCs w:val="24"/>
          <w:lang w:val="es-ES"/>
        </w:rPr>
        <w:t xml:space="preserve">es necesario profundizar en dicho estudio para </w:t>
      </w:r>
      <w:r w:rsidR="00645C5A">
        <w:rPr>
          <w:rFonts w:cs="Arial"/>
          <w:szCs w:val="24"/>
          <w:lang w:val="es-ES"/>
        </w:rPr>
        <w:t>comprobar el eficaz funcionamiento</w:t>
      </w:r>
      <w:r w:rsidR="00577632" w:rsidRPr="00375713">
        <w:rPr>
          <w:rFonts w:cs="Arial"/>
          <w:szCs w:val="24"/>
          <w:lang w:val="es-ES"/>
        </w:rPr>
        <w:t xml:space="preserve"> de dicho sistema.</w:t>
      </w:r>
    </w:p>
    <w:p w:rsidR="00ED61BC" w:rsidRDefault="00D8110A" w:rsidP="00234195">
      <w:pPr>
        <w:spacing w:after="0" w:line="240" w:lineRule="auto"/>
        <w:ind w:firstLine="284"/>
        <w:rPr>
          <w:lang w:val="es-ES"/>
        </w:rPr>
      </w:pPr>
      <w:r w:rsidRPr="00375713">
        <w:rPr>
          <w:rFonts w:cs="Arial"/>
          <w:szCs w:val="24"/>
          <w:lang w:val="es-ES"/>
        </w:rPr>
        <w:t>Finalmente</w:t>
      </w:r>
      <w:r w:rsidR="007412FA">
        <w:rPr>
          <w:rFonts w:cs="Arial"/>
          <w:szCs w:val="24"/>
          <w:lang w:val="es-ES"/>
        </w:rPr>
        <w:t>,</w:t>
      </w:r>
      <w:r w:rsidRPr="00375713">
        <w:rPr>
          <w:rFonts w:cs="Arial"/>
          <w:szCs w:val="24"/>
          <w:lang w:val="es-ES"/>
        </w:rPr>
        <w:t xml:space="preserve"> se comprobó la capacidad biocida del DADS libre y encapsulado</w:t>
      </w:r>
      <w:r w:rsidR="00F9746D">
        <w:rPr>
          <w:rFonts w:cs="Arial"/>
          <w:szCs w:val="24"/>
          <w:lang w:val="es-ES"/>
        </w:rPr>
        <w:t>, donde se identificó una leve</w:t>
      </w:r>
      <w:r w:rsidRPr="00375713">
        <w:rPr>
          <w:lang w:val="es-ES"/>
        </w:rPr>
        <w:t xml:space="preserve"> mejora </w:t>
      </w:r>
      <w:r w:rsidR="00F9746D">
        <w:rPr>
          <w:lang w:val="es-ES"/>
        </w:rPr>
        <w:t xml:space="preserve">del efecto antimicrobiano, </w:t>
      </w:r>
      <w:r w:rsidR="003A3A25">
        <w:rPr>
          <w:lang w:val="es-ES"/>
        </w:rPr>
        <w:t xml:space="preserve">cuando </w:t>
      </w:r>
      <w:r w:rsidR="00F9746D">
        <w:rPr>
          <w:lang w:val="es-ES"/>
        </w:rPr>
        <w:t>se encapsula el DADS.</w:t>
      </w:r>
    </w:p>
    <w:p w:rsidR="005643E1" w:rsidRDefault="00ED61BC" w:rsidP="00F83064">
      <w:pPr>
        <w:spacing w:after="0" w:line="240" w:lineRule="auto"/>
        <w:rPr>
          <w:lang w:val="es-ES"/>
        </w:rPr>
      </w:pPr>
      <w:r>
        <w:rPr>
          <w:lang w:val="es-ES"/>
        </w:rPr>
        <w:t>Los resultado</w:t>
      </w:r>
      <w:r w:rsidRPr="00C631DB">
        <w:rPr>
          <w:lang w:val="es-ES"/>
        </w:rPr>
        <w:t xml:space="preserve">s </w:t>
      </w:r>
      <w:r>
        <w:rPr>
          <w:lang w:val="es-ES"/>
        </w:rPr>
        <w:t xml:space="preserve">obtenidos en este estudio abren un área interesante de investigación, pero </w:t>
      </w:r>
      <w:r w:rsidR="00757C97">
        <w:rPr>
          <w:lang w:val="es-ES"/>
        </w:rPr>
        <w:t xml:space="preserve">es </w:t>
      </w:r>
      <w:r w:rsidRPr="00C631DB">
        <w:rPr>
          <w:lang w:val="es-ES"/>
        </w:rPr>
        <w:t xml:space="preserve">necesario </w:t>
      </w:r>
      <w:r>
        <w:rPr>
          <w:lang w:val="es-ES"/>
        </w:rPr>
        <w:t>ampliar los</w:t>
      </w:r>
      <w:r w:rsidRPr="00C631DB">
        <w:rPr>
          <w:lang w:val="es-ES"/>
        </w:rPr>
        <w:t xml:space="preserve"> estudios al respecto, donde se </w:t>
      </w:r>
      <w:r>
        <w:rPr>
          <w:rFonts w:cs="Arial"/>
          <w:szCs w:val="24"/>
          <w:lang w:val="es-ES"/>
        </w:rPr>
        <w:t>prueben diferentes solventes para mejorar la</w:t>
      </w:r>
      <w:r w:rsidRPr="00375713">
        <w:rPr>
          <w:rFonts w:cs="Arial"/>
          <w:szCs w:val="24"/>
          <w:lang w:val="es-ES"/>
        </w:rPr>
        <w:t xml:space="preserve"> solubilidad</w:t>
      </w:r>
      <w:r>
        <w:rPr>
          <w:rFonts w:cs="Arial"/>
          <w:szCs w:val="24"/>
          <w:lang w:val="es-ES"/>
        </w:rPr>
        <w:t xml:space="preserve"> del DADS, </w:t>
      </w:r>
      <w:r w:rsidR="007412FA">
        <w:rPr>
          <w:rFonts w:cs="Arial"/>
          <w:szCs w:val="24"/>
          <w:lang w:val="es-ES"/>
        </w:rPr>
        <w:t xml:space="preserve">se </w:t>
      </w:r>
      <w:r w:rsidR="007412FA">
        <w:rPr>
          <w:lang w:val="es-ES"/>
        </w:rPr>
        <w:t xml:space="preserve">defina </w:t>
      </w:r>
      <w:r w:rsidRPr="00C631DB">
        <w:rPr>
          <w:lang w:val="es-ES"/>
        </w:rPr>
        <w:lastRenderedPageBreak/>
        <w:t>claramente la CMI y en función de ello</w:t>
      </w:r>
      <w:r w:rsidR="007412FA">
        <w:rPr>
          <w:lang w:val="es-ES"/>
        </w:rPr>
        <w:t>, se</w:t>
      </w:r>
      <w:r w:rsidRPr="00C631DB">
        <w:rPr>
          <w:lang w:val="es-ES"/>
        </w:rPr>
        <w:t xml:space="preserve"> enc</w:t>
      </w:r>
      <w:r w:rsidR="007412FA">
        <w:rPr>
          <w:lang w:val="es-ES"/>
        </w:rPr>
        <w:t>uentren</w:t>
      </w:r>
      <w:r w:rsidRPr="00C631DB">
        <w:rPr>
          <w:lang w:val="es-ES"/>
        </w:rPr>
        <w:t xml:space="preserve"> las condiciones óptimas de encapsulado</w:t>
      </w:r>
      <w:r>
        <w:rPr>
          <w:lang w:val="es-ES"/>
        </w:rPr>
        <w:t xml:space="preserve"> y funcionalización de los sólidos,</w:t>
      </w:r>
      <w:r w:rsidRPr="00C631DB">
        <w:rPr>
          <w:lang w:val="es-ES"/>
        </w:rPr>
        <w:t xml:space="preserve"> que </w:t>
      </w:r>
      <w:r w:rsidR="007412FA">
        <w:rPr>
          <w:lang w:val="es-ES"/>
        </w:rPr>
        <w:t>logren una</w:t>
      </w:r>
      <w:r w:rsidRPr="00C631DB">
        <w:rPr>
          <w:lang w:val="es-ES"/>
        </w:rPr>
        <w:t xml:space="preserve"> </w:t>
      </w:r>
      <w:r>
        <w:rPr>
          <w:lang w:val="es-ES"/>
        </w:rPr>
        <w:t xml:space="preserve">completa </w:t>
      </w:r>
      <w:r w:rsidRPr="00C631DB">
        <w:rPr>
          <w:lang w:val="es-ES"/>
        </w:rPr>
        <w:t>inhibición en la cepa de interés.</w:t>
      </w:r>
      <w:r>
        <w:rPr>
          <w:lang w:val="es-ES"/>
        </w:rPr>
        <w:t xml:space="preserve"> Adicionalmente </w:t>
      </w:r>
      <w:r>
        <w:rPr>
          <w:rFonts w:cs="Arial"/>
          <w:szCs w:val="24"/>
          <w:lang w:val="es-ES"/>
        </w:rPr>
        <w:t xml:space="preserve">deberían proponerse otros compuestos para evaluar, así como incluir </w:t>
      </w:r>
      <w:r w:rsidR="00375713">
        <w:rPr>
          <w:lang w:val="es-ES"/>
        </w:rPr>
        <w:t>pruebas sensoriales</w:t>
      </w:r>
      <w:r w:rsidR="00FC5853">
        <w:rPr>
          <w:lang w:val="es-ES"/>
        </w:rPr>
        <w:t>.</w:t>
      </w:r>
      <w:r w:rsidR="00375713">
        <w:rPr>
          <w:lang w:val="es-ES"/>
        </w:rPr>
        <w:t xml:space="preserve"> </w:t>
      </w:r>
    </w:p>
    <w:p w:rsidR="005643E1" w:rsidRDefault="005643E1" w:rsidP="00F83064">
      <w:pPr>
        <w:spacing w:after="0"/>
        <w:rPr>
          <w:lang w:val="es-ES"/>
        </w:rPr>
      </w:pPr>
    </w:p>
    <w:p w:rsidR="00334117" w:rsidRPr="00375713" w:rsidRDefault="00334117" w:rsidP="00F83064">
      <w:pPr>
        <w:pStyle w:val="Heading1"/>
        <w:numPr>
          <w:ilvl w:val="0"/>
          <w:numId w:val="0"/>
        </w:numPr>
        <w:spacing w:before="0" w:line="240" w:lineRule="auto"/>
        <w:rPr>
          <w:lang w:val="en-US"/>
        </w:rPr>
      </w:pPr>
      <w:bookmarkStart w:id="60" w:name="_Toc429397072"/>
      <w:r w:rsidRPr="00375713">
        <w:rPr>
          <w:lang w:val="en-US"/>
        </w:rPr>
        <w:t>REFERENCIAS</w:t>
      </w:r>
      <w:bookmarkEnd w:id="60"/>
    </w:p>
    <w:p w:rsidR="0045707D" w:rsidRPr="001F5BE4" w:rsidRDefault="0045707D" w:rsidP="00F83064">
      <w:pPr>
        <w:pStyle w:val="NormalWeb"/>
        <w:spacing w:before="0" w:beforeAutospacing="0" w:after="0" w:afterAutospacing="0"/>
        <w:ind w:left="480" w:hanging="480"/>
        <w:divId w:val="1256404650"/>
        <w:rPr>
          <w:rFonts w:ascii="Arial" w:hAnsi="Arial" w:cs="Arial"/>
          <w:sz w:val="20"/>
          <w:szCs w:val="20"/>
          <w:lang w:val="en-US"/>
        </w:rPr>
      </w:pPr>
    </w:p>
    <w:p w:rsidR="00C14BED" w:rsidRPr="00C14BED" w:rsidRDefault="00482127" w:rsidP="00F83064">
      <w:pPr>
        <w:pStyle w:val="NormalWeb"/>
        <w:spacing w:before="0" w:beforeAutospacing="0" w:after="0" w:afterAutospacing="0"/>
        <w:ind w:left="480" w:hanging="480"/>
        <w:divId w:val="134105302"/>
        <w:rPr>
          <w:rFonts w:ascii="Arial" w:hAnsi="Arial" w:cs="Arial"/>
          <w:noProof/>
          <w:sz w:val="20"/>
        </w:rPr>
      </w:pPr>
      <w:r w:rsidRPr="00C443E5">
        <w:rPr>
          <w:rFonts w:ascii="Arial" w:hAnsi="Arial" w:cs="Arial"/>
          <w:sz w:val="20"/>
          <w:szCs w:val="20"/>
          <w:lang w:val="es-ES"/>
        </w:rPr>
        <w:fldChar w:fldCharType="begin" w:fldLock="1"/>
      </w:r>
      <w:r w:rsidR="00334117" w:rsidRPr="00C443E5">
        <w:rPr>
          <w:rFonts w:ascii="Arial" w:hAnsi="Arial" w:cs="Arial"/>
          <w:sz w:val="20"/>
          <w:szCs w:val="20"/>
          <w:lang w:val="en-US"/>
        </w:rPr>
        <w:instrText xml:space="preserve">ADDIN Mendeley Bibliography CSL_BIBLIOGRAPHY </w:instrText>
      </w:r>
      <w:r w:rsidRPr="00C443E5">
        <w:rPr>
          <w:rFonts w:ascii="Arial" w:hAnsi="Arial" w:cs="Arial"/>
          <w:sz w:val="20"/>
          <w:szCs w:val="20"/>
          <w:lang w:val="es-ES"/>
        </w:rPr>
        <w:fldChar w:fldCharType="separate"/>
      </w:r>
      <w:r w:rsidR="00C14BED" w:rsidRPr="00C14BED">
        <w:rPr>
          <w:rFonts w:ascii="Arial" w:hAnsi="Arial" w:cs="Arial"/>
          <w:noProof/>
          <w:sz w:val="20"/>
        </w:rPr>
        <w:t xml:space="preserve">Allison, Gillian L., Gordon M. Lowe, and Khalid Rahman. 2012. “Aged Garlic Extract Inhibits Platelet Activation by Increasing Intracellular cAMP and Reducing the Interaction of GPIIb/IIIa Receptor with Fibrinogen.” </w:t>
      </w:r>
      <w:r w:rsidR="00C14BED" w:rsidRPr="00C14BED">
        <w:rPr>
          <w:rFonts w:ascii="Arial" w:hAnsi="Arial" w:cs="Arial"/>
          <w:i/>
          <w:iCs/>
          <w:noProof/>
          <w:sz w:val="20"/>
        </w:rPr>
        <w:t>Life Sciences</w:t>
      </w:r>
      <w:r w:rsidR="00C14BED" w:rsidRPr="00C14BED">
        <w:rPr>
          <w:rFonts w:ascii="Arial" w:hAnsi="Arial" w:cs="Arial"/>
          <w:noProof/>
          <w:sz w:val="20"/>
        </w:rPr>
        <w:t xml:space="preserve"> 91(25-26): 1275–80.</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Ankri, Serge, and David Mirelman. 1999. “Antimicrobial Properties of Allicin from Garlic.” </w:t>
      </w:r>
      <w:r w:rsidRPr="00C14BED">
        <w:rPr>
          <w:rFonts w:ascii="Arial" w:hAnsi="Arial" w:cs="Arial"/>
          <w:i/>
          <w:iCs/>
          <w:noProof/>
          <w:sz w:val="20"/>
        </w:rPr>
        <w:t>Microbes and Infection</w:t>
      </w:r>
      <w:r w:rsidRPr="00C14BED">
        <w:rPr>
          <w:rFonts w:ascii="Arial" w:hAnsi="Arial" w:cs="Arial"/>
          <w:noProof/>
          <w:sz w:val="20"/>
        </w:rPr>
        <w:t xml:space="preserve"> 1(2): 125–29.</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Arnault, I, N Mondy, F Cadoux, and J Auger. 2000. “Possible Interest of Various Sample Transfer Techniques for Fast Gas Chromatography-Mass Spectrometric Analysis of Ture Onion Volatiles.” </w:t>
      </w:r>
      <w:r w:rsidRPr="00C14BED">
        <w:rPr>
          <w:rFonts w:ascii="Arial" w:hAnsi="Arial" w:cs="Arial"/>
          <w:i/>
          <w:iCs/>
          <w:noProof/>
          <w:sz w:val="20"/>
        </w:rPr>
        <w:t>Journal of Chromatography A</w:t>
      </w:r>
      <w:r w:rsidRPr="00C14BED">
        <w:rPr>
          <w:rFonts w:ascii="Arial" w:hAnsi="Arial" w:cs="Arial"/>
          <w:noProof/>
          <w:sz w:val="20"/>
        </w:rPr>
        <w:t xml:space="preserve"> 896(1-2): 117–24.</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Bernardos, Andrea et al. 2008. “Controlled Release of Vitamin B2 Using Mesoporous Materials Functionalized with Amine-Bearing Gate-like Scaffoldings.” </w:t>
      </w:r>
      <w:r w:rsidRPr="00C14BED">
        <w:rPr>
          <w:rFonts w:ascii="Arial" w:hAnsi="Arial" w:cs="Arial"/>
          <w:i/>
          <w:iCs/>
          <w:noProof/>
          <w:sz w:val="20"/>
        </w:rPr>
        <w:t>Journal of Controlled Release</w:t>
      </w:r>
      <w:r w:rsidRPr="00C14BED">
        <w:rPr>
          <w:rFonts w:ascii="Arial" w:hAnsi="Arial" w:cs="Arial"/>
          <w:noProof/>
          <w:sz w:val="20"/>
        </w:rPr>
        <w:t xml:space="preserve"> 131(3): 181–89. http://dx.doi.org/10.1016/j.jconrel.2008.07.037.</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Block, E, S Naganathan, D Putman, and S H Zhao. 1992. “Allium Chemistry - Hplc Analysis of Thiosulfinates From Onion, Garlic, Wild Garlic (Ramsoms), Leek, Scallion, Shallot, Elephant (Great-Headed) Garlic, Chive, and Chinese Chive - Uniquely High Allyl To Methyl Ratios in Some Garlic Samples.” </w:t>
      </w:r>
      <w:r w:rsidRPr="00C14BED">
        <w:rPr>
          <w:rFonts w:ascii="Arial" w:hAnsi="Arial" w:cs="Arial"/>
          <w:i/>
          <w:iCs/>
          <w:noProof/>
          <w:sz w:val="20"/>
        </w:rPr>
        <w:t>Journal of Agricultural and Food Chemistry</w:t>
      </w:r>
      <w:r w:rsidRPr="00C14BED">
        <w:rPr>
          <w:rFonts w:ascii="Arial" w:hAnsi="Arial" w:cs="Arial"/>
          <w:noProof/>
          <w:sz w:val="20"/>
        </w:rPr>
        <w:t xml:space="preserve"> 40(12): 2418–30. &lt;Go to ISI&gt;://WOS:A1992KD92600017.</w:t>
      </w:r>
    </w:p>
    <w:p w:rsidR="00C14BED" w:rsidRPr="0058456F" w:rsidRDefault="00C14BED" w:rsidP="00F83064">
      <w:pPr>
        <w:pStyle w:val="NormalWeb"/>
        <w:spacing w:before="0" w:beforeAutospacing="0" w:after="0" w:afterAutospacing="0"/>
        <w:ind w:left="480" w:hanging="480"/>
        <w:divId w:val="134105302"/>
        <w:rPr>
          <w:rFonts w:ascii="Arial" w:hAnsi="Arial" w:cs="Arial"/>
          <w:noProof/>
          <w:sz w:val="20"/>
          <w:lang w:val="es-ES"/>
        </w:rPr>
      </w:pPr>
      <w:r w:rsidRPr="00C14BED">
        <w:rPr>
          <w:rFonts w:ascii="Arial" w:hAnsi="Arial" w:cs="Arial"/>
          <w:noProof/>
          <w:sz w:val="20"/>
        </w:rPr>
        <w:t xml:space="preserve">Bocchini, P. et al. 2001. “Determination of Diallyl Thiosulfinate (allicin) in Garlic (Allium Sativum L.) by High-Performance Liquid Chromatography with a Post-Column Photochemical Reactor.” </w:t>
      </w:r>
      <w:r w:rsidRPr="0058456F">
        <w:rPr>
          <w:rFonts w:ascii="Arial" w:hAnsi="Arial" w:cs="Arial"/>
          <w:i/>
          <w:iCs/>
          <w:noProof/>
          <w:sz w:val="20"/>
          <w:lang w:val="es-ES"/>
        </w:rPr>
        <w:t>Analytica Chimica Acta</w:t>
      </w:r>
      <w:r w:rsidRPr="0058456F">
        <w:rPr>
          <w:rFonts w:ascii="Arial" w:hAnsi="Arial" w:cs="Arial"/>
          <w:noProof/>
          <w:sz w:val="20"/>
          <w:lang w:val="es-ES"/>
        </w:rPr>
        <w:t xml:space="preserve"> 441(1): 37–43.</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58456F">
        <w:rPr>
          <w:rFonts w:ascii="Arial" w:hAnsi="Arial" w:cs="Arial"/>
          <w:noProof/>
          <w:sz w:val="20"/>
          <w:lang w:val="es-ES"/>
        </w:rPr>
        <w:t xml:space="preserve">Bojalil, D Bender, and M E Bárcenas. 2013. “El Ajo Y Sus Aplicaciones En La Conservación de Alimentos.” </w:t>
      </w:r>
      <w:r w:rsidRPr="00C14BED">
        <w:rPr>
          <w:rFonts w:ascii="Arial" w:hAnsi="Arial" w:cs="Arial"/>
          <w:noProof/>
          <w:sz w:val="20"/>
        </w:rPr>
        <w:t>1: 25–36.</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Bose, Sankhadip, Bibek Laha, and Subhasis Banerjee. 2014. “Quantification of Allicin by High Performance Liquid Chromatography-Ultraviolet Analysis with Effect of Post-Ultrasonic Sound and Microwave Radiation on Fresh Garlic Cloves.” </w:t>
      </w:r>
      <w:r w:rsidRPr="00C14BED">
        <w:rPr>
          <w:rFonts w:ascii="Arial" w:hAnsi="Arial" w:cs="Arial"/>
          <w:i/>
          <w:iCs/>
          <w:noProof/>
          <w:sz w:val="20"/>
        </w:rPr>
        <w:t>Pharmacognosy Magazine</w:t>
      </w:r>
      <w:r w:rsidRPr="00C14BED">
        <w:rPr>
          <w:rFonts w:ascii="Arial" w:hAnsi="Arial" w:cs="Arial"/>
          <w:noProof/>
          <w:sz w:val="20"/>
        </w:rPr>
        <w:t xml:space="preserve"> 10(Suppl 2): S288–93.</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Cabrera, Saúl et al. 2000. “Generalised Syntheses of Ordered Mesoporous Oxides: The Atrane Route.” </w:t>
      </w:r>
      <w:r w:rsidRPr="00C14BED">
        <w:rPr>
          <w:rFonts w:ascii="Arial" w:hAnsi="Arial" w:cs="Arial"/>
          <w:i/>
          <w:iCs/>
          <w:noProof/>
          <w:sz w:val="20"/>
        </w:rPr>
        <w:t>Solid State Sciences</w:t>
      </w:r>
      <w:r w:rsidRPr="00C14BED">
        <w:rPr>
          <w:rFonts w:ascii="Arial" w:hAnsi="Arial" w:cs="Arial"/>
          <w:noProof/>
          <w:sz w:val="20"/>
        </w:rPr>
        <w:t xml:space="preserve"> 2(4): 405–20.</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Calvey, E et al. 1997. “Allium Chemistry : Supercritical Fluid Extraction and LC/APCI/MS of Thiosulfinates and Related Compounds from Homogenates of Garlic, Onion and Ramp. Identification in Garlic and Ramp and Synthesis of 1-Propanesulfinothioic Acid S-Allyl Ester.” </w:t>
      </w:r>
      <w:r w:rsidRPr="00C14BED">
        <w:rPr>
          <w:rFonts w:ascii="Arial" w:hAnsi="Arial" w:cs="Arial"/>
          <w:i/>
          <w:iCs/>
          <w:noProof/>
          <w:sz w:val="20"/>
        </w:rPr>
        <w:t>Journal of Agricultural and Food Chemistry</w:t>
      </w:r>
      <w:r w:rsidRPr="00C14BED">
        <w:rPr>
          <w:rFonts w:ascii="Arial" w:hAnsi="Arial" w:cs="Arial"/>
          <w:noProof/>
          <w:sz w:val="20"/>
        </w:rPr>
        <w:t xml:space="preserve"> 45(11): 4406–13. \\Robsrv-05\reference manager\Articles\1189.pdf.</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Casella, Sergio et al. 2013. “The Role of Diallyl Sulfides and Dipropyl Sulfides in the in Vitro Antimicrobial Activity of the Essential Oil of Garlic, Allium Sativum L., and Leek, Allium Porrum L.” </w:t>
      </w:r>
      <w:r w:rsidRPr="00C14BED">
        <w:rPr>
          <w:rFonts w:ascii="Arial" w:hAnsi="Arial" w:cs="Arial"/>
          <w:i/>
          <w:iCs/>
          <w:noProof/>
          <w:sz w:val="20"/>
        </w:rPr>
        <w:t>Phytotherapy Research</w:t>
      </w:r>
      <w:r w:rsidRPr="00C14BED">
        <w:rPr>
          <w:rFonts w:ascii="Arial" w:hAnsi="Arial" w:cs="Arial"/>
          <w:noProof/>
          <w:sz w:val="20"/>
        </w:rPr>
        <w:t xml:space="preserve"> 27(3): 380–83.</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Charnay, C. et al. 2004. “Inclusion of Ibuprofen in Mesoporous Templated Silica: Drug Loading and Release Property.” </w:t>
      </w:r>
      <w:r w:rsidRPr="00C14BED">
        <w:rPr>
          <w:rFonts w:ascii="Arial" w:hAnsi="Arial" w:cs="Arial"/>
          <w:i/>
          <w:iCs/>
          <w:noProof/>
          <w:sz w:val="20"/>
        </w:rPr>
        <w:t>European Journal of Pharmaceutics and Biopharmaceutics</w:t>
      </w:r>
      <w:r w:rsidRPr="00C14BED">
        <w:rPr>
          <w:rFonts w:ascii="Arial" w:hAnsi="Arial" w:cs="Arial"/>
          <w:noProof/>
          <w:sz w:val="20"/>
        </w:rPr>
        <w:t xml:space="preserve"> 57(3): 533–40.</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Chick, Stephen E., James S. Koopman, Sada Soorapanth, and Mary E. Brown. 2001. “Infection Transmission System Models for Microbial Risk Assessment.” </w:t>
      </w:r>
      <w:r w:rsidRPr="00C14BED">
        <w:rPr>
          <w:rFonts w:ascii="Arial" w:hAnsi="Arial" w:cs="Arial"/>
          <w:i/>
          <w:iCs/>
          <w:noProof/>
          <w:sz w:val="20"/>
        </w:rPr>
        <w:t>Science of the Total Environment</w:t>
      </w:r>
      <w:r w:rsidRPr="00C14BED">
        <w:rPr>
          <w:rFonts w:ascii="Arial" w:hAnsi="Arial" w:cs="Arial"/>
          <w:noProof/>
          <w:sz w:val="20"/>
        </w:rPr>
        <w:t xml:space="preserve"> 274(1-3): 197–207.</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206C9">
        <w:rPr>
          <w:rFonts w:ascii="Arial" w:hAnsi="Arial" w:cs="Arial"/>
          <w:noProof/>
          <w:sz w:val="20"/>
          <w:lang w:val="fr-FR"/>
        </w:rPr>
        <w:t xml:space="preserve">Dillon, Stephanie a. et al. 2003. </w:t>
      </w:r>
      <w:r w:rsidRPr="00C14BED">
        <w:rPr>
          <w:rFonts w:ascii="Arial" w:hAnsi="Arial" w:cs="Arial"/>
          <w:noProof/>
          <w:sz w:val="20"/>
        </w:rPr>
        <w:t xml:space="preserve">“Antioxidant Properties of Aged Garlic Extract: An in Vitro Study Incorporating Human Low Density Lipoprotein.” </w:t>
      </w:r>
      <w:r w:rsidRPr="00C14BED">
        <w:rPr>
          <w:rFonts w:ascii="Arial" w:hAnsi="Arial" w:cs="Arial"/>
          <w:i/>
          <w:iCs/>
          <w:noProof/>
          <w:sz w:val="20"/>
        </w:rPr>
        <w:t>Life Sciences</w:t>
      </w:r>
      <w:r w:rsidRPr="00C14BED">
        <w:rPr>
          <w:rFonts w:ascii="Arial" w:hAnsi="Arial" w:cs="Arial"/>
          <w:noProof/>
          <w:sz w:val="20"/>
        </w:rPr>
        <w:t xml:space="preserve"> 72(14): 1583–94.</w:t>
      </w:r>
    </w:p>
    <w:p w:rsidR="00C14BED" w:rsidRPr="00C206C9" w:rsidRDefault="00C14BED" w:rsidP="00F83064">
      <w:pPr>
        <w:pStyle w:val="NormalWeb"/>
        <w:spacing w:before="0" w:beforeAutospacing="0" w:after="0" w:afterAutospacing="0"/>
        <w:ind w:left="480" w:hanging="480"/>
        <w:divId w:val="134105302"/>
        <w:rPr>
          <w:rFonts w:ascii="Arial" w:hAnsi="Arial" w:cs="Arial"/>
          <w:noProof/>
          <w:sz w:val="20"/>
          <w:lang w:val="fr-FR"/>
        </w:rPr>
      </w:pPr>
      <w:r w:rsidRPr="00C14BED">
        <w:rPr>
          <w:rFonts w:ascii="Arial" w:hAnsi="Arial" w:cs="Arial"/>
          <w:noProof/>
          <w:sz w:val="20"/>
        </w:rPr>
        <w:t xml:space="preserve">Emmanuel, Mpondo Mpondo, Yinyang Jacques, and Dibong Siegfried Didier. </w:t>
      </w:r>
      <w:r w:rsidRPr="00C206C9">
        <w:rPr>
          <w:rFonts w:ascii="Arial" w:hAnsi="Arial" w:cs="Arial"/>
          <w:noProof/>
          <w:sz w:val="20"/>
          <w:lang w:val="fr-FR"/>
        </w:rPr>
        <w:t>2015. “Valorisation Des Plantes Médicinales À Coumarines Des Marchés de Douala Est ( Cameroun ).” : 7804–23.</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D1527E">
        <w:rPr>
          <w:rFonts w:ascii="Arial" w:hAnsi="Arial" w:cs="Arial"/>
          <w:noProof/>
          <w:sz w:val="20"/>
          <w:lang w:val="en-US"/>
        </w:rPr>
        <w:t xml:space="preserve">Fernández-López, J. et al. 2005. </w:t>
      </w:r>
      <w:r w:rsidRPr="00C14BED">
        <w:rPr>
          <w:rFonts w:ascii="Arial" w:hAnsi="Arial" w:cs="Arial"/>
          <w:noProof/>
          <w:sz w:val="20"/>
        </w:rPr>
        <w:t xml:space="preserve">“Antioxidant and Antibacterial Activities of Natural Extracts: Application in Beef Meatballs.” </w:t>
      </w:r>
      <w:r w:rsidRPr="00C14BED">
        <w:rPr>
          <w:rFonts w:ascii="Arial" w:hAnsi="Arial" w:cs="Arial"/>
          <w:i/>
          <w:iCs/>
          <w:noProof/>
          <w:sz w:val="20"/>
        </w:rPr>
        <w:t>Meat Science</w:t>
      </w:r>
      <w:r w:rsidRPr="00C14BED">
        <w:rPr>
          <w:rFonts w:ascii="Arial" w:hAnsi="Arial" w:cs="Arial"/>
          <w:noProof/>
          <w:sz w:val="20"/>
        </w:rPr>
        <w:t xml:space="preserve"> 69(3): 371–80.</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lastRenderedPageBreak/>
        <w:t xml:space="preserve">Fujisawa, Hiroyuki et al. 2009. “Antibacterial Potential of Garlic-Derived Allicin and Its Cancellation by Sulfhydryl Compounds.” </w:t>
      </w:r>
      <w:r w:rsidRPr="00C14BED">
        <w:rPr>
          <w:rFonts w:ascii="Arial" w:hAnsi="Arial" w:cs="Arial"/>
          <w:i/>
          <w:iCs/>
          <w:noProof/>
          <w:sz w:val="20"/>
        </w:rPr>
        <w:t>Bioscience, biotechnology, and biochemistry</w:t>
      </w:r>
      <w:r w:rsidRPr="00C14BED">
        <w:rPr>
          <w:rFonts w:ascii="Arial" w:hAnsi="Arial" w:cs="Arial"/>
          <w:noProof/>
          <w:sz w:val="20"/>
        </w:rPr>
        <w:t xml:space="preserve"> 73(9): 1948–55.</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Ghani, Mohammad J Abdul. 2010. “Determination of Alliin and Allicin in Different Types Garlic Using High Performance Liquid Chromatography.” </w:t>
      </w:r>
      <w:r w:rsidRPr="00C14BED">
        <w:rPr>
          <w:rFonts w:ascii="Arial" w:hAnsi="Arial" w:cs="Arial"/>
          <w:i/>
          <w:iCs/>
          <w:noProof/>
          <w:sz w:val="20"/>
        </w:rPr>
        <w:t>J. of university of anbar for pure science</w:t>
      </w:r>
      <w:r w:rsidRPr="00C14BED">
        <w:rPr>
          <w:rFonts w:ascii="Arial" w:hAnsi="Arial" w:cs="Arial"/>
          <w:noProof/>
          <w:sz w:val="20"/>
        </w:rPr>
        <w:t xml:space="preserve"> 4(2).</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Giri, Supratim, Brian G. Trewyn, Michael P. Stellmaker, and V. S Y Lin. 2005. “Stimuli-Responsive Controlled-Release Delivery System Based on Mesoporous Silica Nanorods Capped with Magnetic Nanoparticles.” </w:t>
      </w:r>
      <w:r w:rsidRPr="00C14BED">
        <w:rPr>
          <w:rFonts w:ascii="Arial" w:hAnsi="Arial" w:cs="Arial"/>
          <w:i/>
          <w:iCs/>
          <w:noProof/>
          <w:sz w:val="20"/>
        </w:rPr>
        <w:t>Angewandte Chemie - International Edition</w:t>
      </w:r>
      <w:r w:rsidRPr="00C14BED">
        <w:rPr>
          <w:rFonts w:ascii="Arial" w:hAnsi="Arial" w:cs="Arial"/>
          <w:noProof/>
          <w:sz w:val="20"/>
        </w:rPr>
        <w:t xml:space="preserve"> 44(32): 5038–44.</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Hammerum, Anette M, and Ole E Heuer. 2009. “Human Health Hazards from Antimicrobial-Resistant Escherichia Coli of Animal Origin.” </w:t>
      </w:r>
      <w:r w:rsidRPr="00C14BED">
        <w:rPr>
          <w:rFonts w:ascii="Arial" w:hAnsi="Arial" w:cs="Arial"/>
          <w:i/>
          <w:iCs/>
          <w:noProof/>
          <w:sz w:val="20"/>
        </w:rPr>
        <w:t>Clinical infectious diseases : an official publication of the Infectious Diseases Society of America</w:t>
      </w:r>
      <w:r w:rsidRPr="00C14BED">
        <w:rPr>
          <w:rFonts w:ascii="Arial" w:hAnsi="Arial" w:cs="Arial"/>
          <w:noProof/>
          <w:sz w:val="20"/>
        </w:rPr>
        <w:t xml:space="preserve"> 48(7): 916–21.</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Huerta, M. et al. 2000. “A Waterborne Outbreak of Gastroenteritis in the Golan Heights due to Enterotoxigenic Escherichia Coli.” </w:t>
      </w:r>
      <w:r w:rsidRPr="00C14BED">
        <w:rPr>
          <w:rFonts w:ascii="Arial" w:hAnsi="Arial" w:cs="Arial"/>
          <w:i/>
          <w:iCs/>
          <w:noProof/>
          <w:sz w:val="20"/>
        </w:rPr>
        <w:t>Infection</w:t>
      </w:r>
      <w:r w:rsidRPr="00C14BED">
        <w:rPr>
          <w:rFonts w:ascii="Arial" w:hAnsi="Arial" w:cs="Arial"/>
          <w:noProof/>
          <w:sz w:val="20"/>
        </w:rPr>
        <w:t xml:space="preserve"> 28(5): 267–71.</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Ichikawa, Makoto, Nagatoshi Ide, and Kazuhisa Ono. 2006. “Changes in Organosulfur Compounds in Garlic Cloves during Storage.” </w:t>
      </w:r>
      <w:r w:rsidRPr="00C14BED">
        <w:rPr>
          <w:rFonts w:ascii="Arial" w:hAnsi="Arial" w:cs="Arial"/>
          <w:i/>
          <w:iCs/>
          <w:noProof/>
          <w:sz w:val="20"/>
        </w:rPr>
        <w:t>Journal of Agricultural and Food Chemistry</w:t>
      </w:r>
      <w:r w:rsidRPr="00C14BED">
        <w:rPr>
          <w:rFonts w:ascii="Arial" w:hAnsi="Arial" w:cs="Arial"/>
          <w:noProof/>
          <w:sz w:val="20"/>
        </w:rPr>
        <w:t xml:space="preserve"> 54(13): 4849–54.</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Janatova, Anezka et al. 2015. “Long-Term Antifungal Activity of Volatile Essential Oil Components Released from Mesoporous Silica Materials.” </w:t>
      </w:r>
      <w:r w:rsidRPr="00C14BED">
        <w:rPr>
          <w:rFonts w:ascii="Arial" w:hAnsi="Arial" w:cs="Arial"/>
          <w:i/>
          <w:iCs/>
          <w:noProof/>
          <w:sz w:val="20"/>
        </w:rPr>
        <w:t>Industrial Crops and Products</w:t>
      </w:r>
      <w:r w:rsidRPr="00C14BED">
        <w:rPr>
          <w:rFonts w:ascii="Arial" w:hAnsi="Arial" w:cs="Arial"/>
          <w:noProof/>
          <w:sz w:val="20"/>
        </w:rPr>
        <w:t xml:space="preserve"> 67: 216–20. http://linkinghub.elsevier.com/retrieve/pii/S0926669015000217.</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Kim, Ji Yeon, and Oran Kwon. 2009. “Garlic Intake and Cancer Risk: An Analysis Using the Food and Drug Administration’s Evidence-Based Review System for the Scientific Evaluation of Health Claims.” </w:t>
      </w:r>
      <w:r w:rsidRPr="00C14BED">
        <w:rPr>
          <w:rFonts w:ascii="Arial" w:hAnsi="Arial" w:cs="Arial"/>
          <w:i/>
          <w:iCs/>
          <w:noProof/>
          <w:sz w:val="20"/>
        </w:rPr>
        <w:t>The American journal of clinical nutrition</w:t>
      </w:r>
      <w:r w:rsidRPr="00C14BED">
        <w:rPr>
          <w:rFonts w:ascii="Arial" w:hAnsi="Arial" w:cs="Arial"/>
          <w:noProof/>
          <w:sz w:val="20"/>
        </w:rPr>
        <w:t xml:space="preserve"> 89(1): 257–64.</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Kim, S M et al. 1995. “Volatile Compounds in Stir-Fried Garlic.” </w:t>
      </w:r>
      <w:r w:rsidRPr="00C14BED">
        <w:rPr>
          <w:rFonts w:ascii="Arial" w:hAnsi="Arial" w:cs="Arial"/>
          <w:i/>
          <w:iCs/>
          <w:noProof/>
          <w:sz w:val="20"/>
        </w:rPr>
        <w:t>Journal of Agricultural and Food Chemistry</w:t>
      </w:r>
      <w:r w:rsidRPr="00C14BED">
        <w:rPr>
          <w:rFonts w:ascii="Arial" w:hAnsi="Arial" w:cs="Arial"/>
          <w:noProof/>
          <w:sz w:val="20"/>
        </w:rPr>
        <w:t xml:space="preserve"> 43(11): 2951–55. \\Robsrv-05\reference manager\Articles\3099.pdf.</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206C9">
        <w:rPr>
          <w:rFonts w:ascii="Arial" w:hAnsi="Arial" w:cs="Arial"/>
          <w:noProof/>
          <w:sz w:val="20"/>
          <w:lang w:val="fr-FR"/>
        </w:rPr>
        <w:t xml:space="preserve">Laidler, Matthew R. et al. 2013. </w:t>
      </w:r>
      <w:r w:rsidRPr="00C14BED">
        <w:rPr>
          <w:rFonts w:ascii="Arial" w:hAnsi="Arial" w:cs="Arial"/>
          <w:noProof/>
          <w:sz w:val="20"/>
        </w:rPr>
        <w:t xml:space="preserve">“Escherichia Coli O157:H7 Infections Associated with Consumption of Locally Grown Strawberries Contaminated by Deer.” </w:t>
      </w:r>
      <w:r w:rsidRPr="00C14BED">
        <w:rPr>
          <w:rFonts w:ascii="Arial" w:hAnsi="Arial" w:cs="Arial"/>
          <w:i/>
          <w:iCs/>
          <w:noProof/>
          <w:sz w:val="20"/>
        </w:rPr>
        <w:t>Clinical Infectious Diseases</w:t>
      </w:r>
      <w:r w:rsidRPr="00C14BED">
        <w:rPr>
          <w:rFonts w:ascii="Arial" w:hAnsi="Arial" w:cs="Arial"/>
          <w:noProof/>
          <w:sz w:val="20"/>
        </w:rPr>
        <w:t xml:space="preserve"> 57(8): 1129–34.</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Lanzotti, Virginia. 2006. “The Analysis of Onion and Garlic.” </w:t>
      </w:r>
      <w:r w:rsidRPr="00C14BED">
        <w:rPr>
          <w:rFonts w:ascii="Arial" w:hAnsi="Arial" w:cs="Arial"/>
          <w:i/>
          <w:iCs/>
          <w:noProof/>
          <w:sz w:val="20"/>
        </w:rPr>
        <w:t>Journal of Chromatography A</w:t>
      </w:r>
      <w:r w:rsidRPr="00C14BED">
        <w:rPr>
          <w:rFonts w:ascii="Arial" w:hAnsi="Arial" w:cs="Arial"/>
          <w:noProof/>
          <w:sz w:val="20"/>
        </w:rPr>
        <w:t xml:space="preserve"> 1112(1-2): 3–22.</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Larijani, Vahid Nabavi et al. 2013. “Beneficial Effects of Aged Garlic Extract and Coenzyme Q10 on Vascular Elasticity and Endothelial Function: The FAITH Randomized Clinical Trial.” </w:t>
      </w:r>
      <w:r w:rsidRPr="00C14BED">
        <w:rPr>
          <w:rFonts w:ascii="Arial" w:hAnsi="Arial" w:cs="Arial"/>
          <w:i/>
          <w:iCs/>
          <w:noProof/>
          <w:sz w:val="20"/>
        </w:rPr>
        <w:t>Nutrition</w:t>
      </w:r>
      <w:r w:rsidRPr="00C14BED">
        <w:rPr>
          <w:rFonts w:ascii="Arial" w:hAnsi="Arial" w:cs="Arial"/>
          <w:noProof/>
          <w:sz w:val="20"/>
        </w:rPr>
        <w:t xml:space="preserve"> 29(1): 71–75.</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Lin, Victor S, Yannan Zhao, Brian G Trewyn, and Igor I Slowing. 2009. “Supporting Information Mesoporous Silica Nanoparticle-Based Double Drug Delivery System for Glucose Responsive Controlled Release of Insulin and Cyclic AMP.” </w:t>
      </w:r>
      <w:r w:rsidRPr="00C14BED">
        <w:rPr>
          <w:rFonts w:ascii="Arial" w:hAnsi="Arial" w:cs="Arial"/>
          <w:i/>
          <w:iCs/>
          <w:noProof/>
          <w:sz w:val="20"/>
        </w:rPr>
        <w:t>Synthesis</w:t>
      </w:r>
      <w:r w:rsidRPr="00C14BED">
        <w:rPr>
          <w:rFonts w:ascii="Arial" w:hAnsi="Arial" w:cs="Arial"/>
          <w:noProof/>
          <w:sz w:val="20"/>
        </w:rPr>
        <w:t>: 1–9.</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Lu, Xiaonan, Barbara a. Rasco, Dong Hyun Kang, et al. 2011. “Infrared and Raman Spectroscopic Studies of the Antimicrobial Effects of Garlic Concentrates and Diallyl Constituents on Foodborne Pathogens.” </w:t>
      </w:r>
      <w:r w:rsidRPr="00C14BED">
        <w:rPr>
          <w:rFonts w:ascii="Arial" w:hAnsi="Arial" w:cs="Arial"/>
          <w:i/>
          <w:iCs/>
          <w:noProof/>
          <w:sz w:val="20"/>
        </w:rPr>
        <w:t>Analytical Chemistry</w:t>
      </w:r>
      <w:r w:rsidRPr="00C14BED">
        <w:rPr>
          <w:rFonts w:ascii="Arial" w:hAnsi="Arial" w:cs="Arial"/>
          <w:noProof/>
          <w:sz w:val="20"/>
        </w:rPr>
        <w:t xml:space="preserve"> 83(11): 4137–46.</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Lu, Xiaonan, Barbara a. Rasco, Jamie M F Jabal, et al. 2011. “Investigating Antibacterial Effects of Garlic (Allium Sativum) Concentrate and Garlic-Derived Organosulfur Compounds on Campylobacter Jejuni by Using Fourier Transform Infrared Spectroscopy, Raman Spectroscopy, and Electron Microscopy.” </w:t>
      </w:r>
      <w:r w:rsidRPr="00C14BED">
        <w:rPr>
          <w:rFonts w:ascii="Arial" w:hAnsi="Arial" w:cs="Arial"/>
          <w:i/>
          <w:iCs/>
          <w:noProof/>
          <w:sz w:val="20"/>
        </w:rPr>
        <w:t>Applied and Environmental Microbiology</w:t>
      </w:r>
      <w:r w:rsidRPr="00C14BED">
        <w:rPr>
          <w:rFonts w:ascii="Arial" w:hAnsi="Arial" w:cs="Arial"/>
          <w:noProof/>
          <w:sz w:val="20"/>
        </w:rPr>
        <w:t xml:space="preserve"> 77(15): 5257–69.</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Lu, Xiaonan, Derrick R. Samuelson, Barbara a. Rasco, and Michael E. Konkel. 2012. “Antimicrobial Effect of Diallyl Sulphide on Campylobacter Jejuni Biofilms.” </w:t>
      </w:r>
      <w:r w:rsidRPr="00C14BED">
        <w:rPr>
          <w:rFonts w:ascii="Arial" w:hAnsi="Arial" w:cs="Arial"/>
          <w:i/>
          <w:iCs/>
          <w:noProof/>
          <w:sz w:val="20"/>
        </w:rPr>
        <w:t>Journal of Antimicrobial Chemotherapy</w:t>
      </w:r>
      <w:r w:rsidRPr="00C14BED">
        <w:rPr>
          <w:rFonts w:ascii="Arial" w:hAnsi="Arial" w:cs="Arial"/>
          <w:noProof/>
          <w:sz w:val="20"/>
        </w:rPr>
        <w:t xml:space="preserve"> 67(8): 1915–26.</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58456F">
        <w:rPr>
          <w:rFonts w:ascii="Arial" w:hAnsi="Arial" w:cs="Arial"/>
          <w:noProof/>
          <w:sz w:val="20"/>
          <w:lang w:val="es-ES"/>
        </w:rPr>
        <w:t xml:space="preserve">Magro, Ana, Manuela Carolino, Margarida Bastos, and António Mexia. </w:t>
      </w:r>
      <w:r w:rsidRPr="00C14BED">
        <w:rPr>
          <w:rFonts w:ascii="Arial" w:hAnsi="Arial" w:cs="Arial"/>
          <w:noProof/>
          <w:sz w:val="20"/>
        </w:rPr>
        <w:t xml:space="preserve">2006. “Efficacy of Plant Extracts against Stored Products Fungi.” </w:t>
      </w:r>
      <w:r w:rsidRPr="00C14BED">
        <w:rPr>
          <w:rFonts w:ascii="Arial" w:hAnsi="Arial" w:cs="Arial"/>
          <w:i/>
          <w:iCs/>
          <w:noProof/>
          <w:sz w:val="20"/>
        </w:rPr>
        <w:t>Revista Iberoamericana de Micología</w:t>
      </w:r>
      <w:r w:rsidRPr="00C14BED">
        <w:rPr>
          <w:rFonts w:ascii="Arial" w:hAnsi="Arial" w:cs="Arial"/>
          <w:noProof/>
          <w:sz w:val="20"/>
        </w:rPr>
        <w:t xml:space="preserve"> 23(3): 176–78. http://dx.doi.org/10.1016/S1130-1406(06)70039-0.</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Nakamura, K. et al. 2015. “Outbreak of Extended-Spectrum Β-Lactamase-Producing Escherichia Coli Transmitted through Breast Milk Sharing in a Neonatal Intensive Care Unit.” </w:t>
      </w:r>
      <w:r w:rsidRPr="00C14BED">
        <w:rPr>
          <w:rFonts w:ascii="Arial" w:hAnsi="Arial" w:cs="Arial"/>
          <w:i/>
          <w:iCs/>
          <w:noProof/>
          <w:sz w:val="20"/>
        </w:rPr>
        <w:t>Journal of Hospital Infection</w:t>
      </w:r>
      <w:r w:rsidRPr="00C14BED">
        <w:rPr>
          <w:rFonts w:ascii="Arial" w:hAnsi="Arial" w:cs="Arial"/>
          <w:noProof/>
          <w:sz w:val="20"/>
        </w:rPr>
        <w:t>: 1–5. http://linkinghub.elsevier.com/retrieve/pii/S0195670115002091.</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Nielsen, Karen L., Pia Dynesen, Preben Larsen, and Niels Frimodt-Møller. 2014. “Faecal Escherichia Coli from Patients with E. Coli Urinary Tract Infection and Healthy Controls </w:t>
      </w:r>
      <w:r w:rsidRPr="00C14BED">
        <w:rPr>
          <w:rFonts w:ascii="Arial" w:hAnsi="Arial" w:cs="Arial"/>
          <w:noProof/>
          <w:sz w:val="20"/>
        </w:rPr>
        <w:lastRenderedPageBreak/>
        <w:t xml:space="preserve">Who Have Never Had a Urinary Tract Infection.” </w:t>
      </w:r>
      <w:r w:rsidRPr="00C14BED">
        <w:rPr>
          <w:rFonts w:ascii="Arial" w:hAnsi="Arial" w:cs="Arial"/>
          <w:i/>
          <w:iCs/>
          <w:noProof/>
          <w:sz w:val="20"/>
        </w:rPr>
        <w:t>Journal of Medical Microbiology</w:t>
      </w:r>
      <w:r w:rsidRPr="00C14BED">
        <w:rPr>
          <w:rFonts w:ascii="Arial" w:hAnsi="Arial" w:cs="Arial"/>
          <w:noProof/>
          <w:sz w:val="20"/>
        </w:rPr>
        <w:t xml:space="preserve"> 63(PART 4): 582–89.</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Qu, Fengyu et al. 2006. “Drug Self-Templated Synthesis of Ibuprofen/mesoporous Silica for Sustained Release.” </w:t>
      </w:r>
      <w:r w:rsidRPr="00C14BED">
        <w:rPr>
          <w:rFonts w:ascii="Arial" w:hAnsi="Arial" w:cs="Arial"/>
          <w:i/>
          <w:iCs/>
          <w:noProof/>
          <w:sz w:val="20"/>
        </w:rPr>
        <w:t>European Journal of Inorganic Chemistry</w:t>
      </w:r>
      <w:r w:rsidRPr="00C14BED">
        <w:rPr>
          <w:rFonts w:ascii="Arial" w:hAnsi="Arial" w:cs="Arial"/>
          <w:noProof/>
          <w:sz w:val="20"/>
        </w:rPr>
        <w:t xml:space="preserve"> (19): 3943–47.</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Rattanachaikunsopon, P, and P Phumkhachorn. 2009. “Shallot ( Allium Ascalonicum L.) Oil: Diallyl Sulfide Content and Antimicrobial Activity against Food-Borne Pathogenic Bacteria.” </w:t>
      </w:r>
      <w:r w:rsidRPr="00C14BED">
        <w:rPr>
          <w:rFonts w:ascii="Arial" w:hAnsi="Arial" w:cs="Arial"/>
          <w:i/>
          <w:iCs/>
          <w:noProof/>
          <w:sz w:val="20"/>
        </w:rPr>
        <w:t>African Journal of Microbiology Research</w:t>
      </w:r>
      <w:r w:rsidRPr="00C14BED">
        <w:rPr>
          <w:rFonts w:ascii="Arial" w:hAnsi="Arial" w:cs="Arial"/>
          <w:noProof/>
          <w:sz w:val="20"/>
        </w:rPr>
        <w:t xml:space="preserve"> 3(11): 747–50.</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Rattanachaikunsopon, Pongsak, and Parichat Phumkhachorn. 2008. “Diallyl Sulfide Content and Antimicrobial Activity against Food-Borne Pathogenic Bacteria of Chives (Allium Schoenoprasum).” </w:t>
      </w:r>
      <w:r w:rsidRPr="00C14BED">
        <w:rPr>
          <w:rFonts w:ascii="Arial" w:hAnsi="Arial" w:cs="Arial"/>
          <w:i/>
          <w:iCs/>
          <w:noProof/>
          <w:sz w:val="20"/>
        </w:rPr>
        <w:t>Bioscience, biotechnology, and biochemistry</w:t>
      </w:r>
      <w:r w:rsidRPr="00C14BED">
        <w:rPr>
          <w:rFonts w:ascii="Arial" w:hAnsi="Arial" w:cs="Arial"/>
          <w:noProof/>
          <w:sz w:val="20"/>
        </w:rPr>
        <w:t xml:space="preserve"> 72(11): 2987–91.</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Rosenholm, Jessica M., and Mika Lindén. 2008. “Towards Establishing Structure-Activity Relationships for Mesoporous Silica in Drug Delivery Applications.” </w:t>
      </w:r>
      <w:r w:rsidRPr="00C14BED">
        <w:rPr>
          <w:rFonts w:ascii="Arial" w:hAnsi="Arial" w:cs="Arial"/>
          <w:i/>
          <w:iCs/>
          <w:noProof/>
          <w:sz w:val="20"/>
        </w:rPr>
        <w:t>Journal of Controlled Release</w:t>
      </w:r>
      <w:r w:rsidRPr="00C14BED">
        <w:rPr>
          <w:rFonts w:ascii="Arial" w:hAnsi="Arial" w:cs="Arial"/>
          <w:noProof/>
          <w:sz w:val="20"/>
        </w:rPr>
        <w:t xml:space="preserve"> 128(2): 157–64.</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Stokholm, Jakob et al. 2012. “Living with Cat and Dog Increases Vaginal Colonization with E. Coli in Pregnant Women.” </w:t>
      </w:r>
      <w:r w:rsidRPr="00C14BED">
        <w:rPr>
          <w:rFonts w:ascii="Arial" w:hAnsi="Arial" w:cs="Arial"/>
          <w:i/>
          <w:iCs/>
          <w:noProof/>
          <w:sz w:val="20"/>
        </w:rPr>
        <w:t>PLoS ONE</w:t>
      </w:r>
      <w:r w:rsidRPr="00C14BED">
        <w:rPr>
          <w:rFonts w:ascii="Arial" w:hAnsi="Arial" w:cs="Arial"/>
          <w:noProof/>
          <w:sz w:val="20"/>
        </w:rPr>
        <w:t xml:space="preserve"> 7(9): 7–12.</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Sun, Xuehui et al. 2006. “Determination of the Concentration of Diallyl Trisulfide in Rat Whole Blood Using Gas Chromatography with Electron-Capture Detection and Identification of Its Major Metabolite with Gas Chromatography Mass Spectrometry.” </w:t>
      </w:r>
      <w:r w:rsidRPr="00C14BED">
        <w:rPr>
          <w:rFonts w:ascii="Arial" w:hAnsi="Arial" w:cs="Arial"/>
          <w:i/>
          <w:iCs/>
          <w:noProof/>
          <w:sz w:val="20"/>
        </w:rPr>
        <w:t>Yakugaku zasshi : Journal of the Pharmaceutical Society of Japan</w:t>
      </w:r>
      <w:r w:rsidRPr="00C14BED">
        <w:rPr>
          <w:rFonts w:ascii="Arial" w:hAnsi="Arial" w:cs="Arial"/>
          <w:noProof/>
          <w:sz w:val="20"/>
        </w:rPr>
        <w:t xml:space="preserve"> 126(7): 521–27.</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Trewyn, Brian G, Supratim Giri, Igor I Slowing, and Victor S-Y Lin. 2007. “Mesoporous Silica Nanoparticle Based Controlled Release, Drug Delivery, and Biosensor Systems.” </w:t>
      </w:r>
      <w:r w:rsidRPr="00C14BED">
        <w:rPr>
          <w:rFonts w:ascii="Arial" w:hAnsi="Arial" w:cs="Arial"/>
          <w:i/>
          <w:iCs/>
          <w:noProof/>
          <w:sz w:val="20"/>
        </w:rPr>
        <w:t>Chemical communications (Cambridge, England)</w:t>
      </w:r>
      <w:r w:rsidRPr="00C14BED">
        <w:rPr>
          <w:rFonts w:ascii="Arial" w:hAnsi="Arial" w:cs="Arial"/>
          <w:noProof/>
          <w:sz w:val="20"/>
        </w:rPr>
        <w:t xml:space="preserve"> (31): 3236–45.</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Tung-Hsi, Yu, Chung-May Wu, and Yoh-Cherng Liou. 1989. “Volatile Compounds from Garlic.” </w:t>
      </w:r>
      <w:r w:rsidRPr="00C14BED">
        <w:rPr>
          <w:rFonts w:ascii="Arial" w:hAnsi="Arial" w:cs="Arial"/>
          <w:i/>
          <w:iCs/>
          <w:noProof/>
          <w:sz w:val="20"/>
        </w:rPr>
        <w:t>Journal of agricultural and food chemistry</w:t>
      </w:r>
      <w:r w:rsidRPr="00C14BED">
        <w:rPr>
          <w:rFonts w:ascii="Arial" w:hAnsi="Arial" w:cs="Arial"/>
          <w:noProof/>
          <w:sz w:val="20"/>
        </w:rPr>
        <w:t xml:space="preserve"> 37: 725–30.</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Vallet-Regí, María, Francisco Balas, and Daniel Arcos. 2007. “Mesoporous Materials for Drug Delivery.” </w:t>
      </w:r>
      <w:r w:rsidRPr="00C14BED">
        <w:rPr>
          <w:rFonts w:ascii="Arial" w:hAnsi="Arial" w:cs="Arial"/>
          <w:i/>
          <w:iCs/>
          <w:noProof/>
          <w:sz w:val="20"/>
        </w:rPr>
        <w:t>Angewandte Chemie - International Edition</w:t>
      </w:r>
      <w:r w:rsidRPr="00C14BED">
        <w:rPr>
          <w:rFonts w:ascii="Arial" w:hAnsi="Arial" w:cs="Arial"/>
          <w:noProof/>
          <w:sz w:val="20"/>
        </w:rPr>
        <w:t xml:space="preserve"> 46(40): 7548–58.</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Wu, Zhijian, Yan Jiang, Taehoon Kim, and Kangtaek Lee. 2007. “Effects of Surface Coating on the Controlled Release of Vitamin B1 from Mesoporous Silica Tablets.” </w:t>
      </w:r>
      <w:r w:rsidRPr="00C14BED">
        <w:rPr>
          <w:rFonts w:ascii="Arial" w:hAnsi="Arial" w:cs="Arial"/>
          <w:i/>
          <w:iCs/>
          <w:noProof/>
          <w:sz w:val="20"/>
        </w:rPr>
        <w:t>Journal of Controlled Release</w:t>
      </w:r>
      <w:r w:rsidRPr="00C14BED">
        <w:rPr>
          <w:rFonts w:ascii="Arial" w:hAnsi="Arial" w:cs="Arial"/>
          <w:noProof/>
          <w:sz w:val="20"/>
        </w:rPr>
        <w:t xml:space="preserve"> 119(2): 215–21.</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Yin, Mei-chin, and Wen-shen Cheng. 2003. “Antioxidant and Antimicrobial Effects of Four Garlic-Derived Organosulfur Compounds in Ground Beef.” </w:t>
      </w:r>
      <w:r w:rsidRPr="00C14BED">
        <w:rPr>
          <w:rFonts w:ascii="Arial" w:hAnsi="Arial" w:cs="Arial"/>
          <w:i/>
          <w:iCs/>
          <w:noProof/>
          <w:sz w:val="20"/>
        </w:rPr>
        <w:t>Meat Science</w:t>
      </w:r>
      <w:r w:rsidRPr="00C14BED">
        <w:rPr>
          <w:rFonts w:ascii="Arial" w:hAnsi="Arial" w:cs="Arial"/>
          <w:noProof/>
          <w:sz w:val="20"/>
        </w:rPr>
        <w:t xml:space="preserve"> 63(1): 23–28.</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Zalepugin, D. Yu. et al. 2010. “Application of Supercritical Fluid Extraction to the Development of New Potential Biocides on the Basis of Garlic (Allium Sativum L.).” </w:t>
      </w:r>
      <w:r w:rsidRPr="00C14BED">
        <w:rPr>
          <w:rFonts w:ascii="Arial" w:hAnsi="Arial" w:cs="Arial"/>
          <w:i/>
          <w:iCs/>
          <w:noProof/>
          <w:sz w:val="20"/>
        </w:rPr>
        <w:t>Russian Journal of Physical Chemistry B</w:t>
      </w:r>
      <w:r w:rsidRPr="00C14BED">
        <w:rPr>
          <w:rFonts w:ascii="Arial" w:hAnsi="Arial" w:cs="Arial"/>
          <w:noProof/>
          <w:sz w:val="20"/>
        </w:rPr>
        <w:t xml:space="preserve"> 4(7): 1103–11.</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Zhao, Dongyuan et al. 1998. “Tri-, Tetra-, and Octablock Copolymer and Nonionic Surfactant Syntheses of Highly Ordered, Hydrothermally Stable, Mesoporous Silica Structures.” </w:t>
      </w:r>
      <w:r w:rsidRPr="00C14BED">
        <w:rPr>
          <w:rFonts w:ascii="Arial" w:hAnsi="Arial" w:cs="Arial"/>
          <w:i/>
          <w:iCs/>
          <w:noProof/>
          <w:sz w:val="20"/>
        </w:rPr>
        <w:t>J. Am. Chem. Soc.</w:t>
      </w:r>
      <w:r w:rsidRPr="00C14BED">
        <w:rPr>
          <w:rFonts w:ascii="Arial" w:hAnsi="Arial" w:cs="Arial"/>
          <w:noProof/>
          <w:sz w:val="20"/>
        </w:rPr>
        <w:t xml:space="preserve"> 120(24): 6024–36.</w:t>
      </w:r>
    </w:p>
    <w:p w:rsidR="00C14BED" w:rsidRPr="00C14BED" w:rsidRDefault="00C14BED" w:rsidP="00F83064">
      <w:pPr>
        <w:pStyle w:val="NormalWeb"/>
        <w:spacing w:before="0" w:beforeAutospacing="0" w:after="0" w:afterAutospacing="0"/>
        <w:ind w:left="480" w:hanging="480"/>
        <w:divId w:val="134105302"/>
        <w:rPr>
          <w:rFonts w:ascii="Arial" w:hAnsi="Arial" w:cs="Arial"/>
          <w:noProof/>
          <w:sz w:val="20"/>
        </w:rPr>
      </w:pPr>
      <w:r w:rsidRPr="00C14BED">
        <w:rPr>
          <w:rFonts w:ascii="Arial" w:hAnsi="Arial" w:cs="Arial"/>
          <w:noProof/>
          <w:sz w:val="20"/>
        </w:rPr>
        <w:t xml:space="preserve">Zhu, Yingchun, and Masahiro Fujiwara. 2007. “Installing Dynamic Molecular Photomechanics in Mesopores: A Multifunctional Controlled-Release Nanosystem.” </w:t>
      </w:r>
      <w:r w:rsidRPr="00C14BED">
        <w:rPr>
          <w:rFonts w:ascii="Arial" w:hAnsi="Arial" w:cs="Arial"/>
          <w:i/>
          <w:iCs/>
          <w:noProof/>
          <w:sz w:val="20"/>
        </w:rPr>
        <w:t>Angewandte Chemie - International Edition</w:t>
      </w:r>
      <w:r w:rsidRPr="00C14BED">
        <w:rPr>
          <w:rFonts w:ascii="Arial" w:hAnsi="Arial" w:cs="Arial"/>
          <w:noProof/>
          <w:sz w:val="20"/>
        </w:rPr>
        <w:t xml:space="preserve"> 46(13): 2241–44.</w:t>
      </w:r>
    </w:p>
    <w:p w:rsidR="009531E1" w:rsidRDefault="00482127" w:rsidP="00F83064">
      <w:pPr>
        <w:pStyle w:val="NormalWeb"/>
        <w:spacing w:before="0" w:beforeAutospacing="0" w:after="0" w:afterAutospacing="0"/>
        <w:ind w:left="480" w:hanging="480"/>
        <w:rPr>
          <w:rFonts w:ascii="Arial" w:hAnsi="Arial" w:cs="Arial"/>
          <w:noProof/>
          <w:sz w:val="20"/>
          <w:szCs w:val="20"/>
        </w:rPr>
      </w:pPr>
      <w:r w:rsidRPr="00C443E5">
        <w:rPr>
          <w:rFonts w:ascii="Arial" w:hAnsi="Arial" w:cs="Arial"/>
          <w:sz w:val="20"/>
          <w:szCs w:val="20"/>
          <w:lang w:val="es-ES"/>
        </w:rPr>
        <w:fldChar w:fldCharType="end"/>
      </w:r>
      <w:r w:rsidR="009531E1" w:rsidRPr="00C443E5">
        <w:rPr>
          <w:rFonts w:ascii="Arial" w:hAnsi="Arial" w:cs="Arial"/>
          <w:noProof/>
          <w:sz w:val="20"/>
          <w:szCs w:val="20"/>
        </w:rPr>
        <w:t xml:space="preserve"> Zhao, Dongyuan et al. 1998. “Tri-, Tetra-, and Octablock Copolymer and Nonionic Surfactant Syntheses of Highly Ordered, Hydrothermally Stable, Mesoporous Silica Structures.” </w:t>
      </w:r>
      <w:r w:rsidR="009531E1" w:rsidRPr="00C443E5">
        <w:rPr>
          <w:rFonts w:ascii="Arial" w:hAnsi="Arial" w:cs="Arial"/>
          <w:i/>
          <w:iCs/>
          <w:noProof/>
          <w:sz w:val="20"/>
          <w:szCs w:val="20"/>
        </w:rPr>
        <w:t>J. Am. Chem. Soc.</w:t>
      </w:r>
      <w:r w:rsidR="009531E1" w:rsidRPr="00C443E5">
        <w:rPr>
          <w:rFonts w:ascii="Arial" w:hAnsi="Arial" w:cs="Arial"/>
          <w:noProof/>
          <w:sz w:val="20"/>
          <w:szCs w:val="20"/>
        </w:rPr>
        <w:t xml:space="preserve"> 120(24): 6024–36.</w:t>
      </w:r>
    </w:p>
    <w:p w:rsidR="000A7AB2" w:rsidRDefault="000A7AB2" w:rsidP="0045707D">
      <w:pPr>
        <w:pStyle w:val="NormalWeb"/>
        <w:spacing w:before="0" w:beforeAutospacing="0" w:after="0" w:afterAutospacing="0"/>
        <w:ind w:left="480" w:hanging="480"/>
        <w:rPr>
          <w:rFonts w:ascii="Arial" w:hAnsi="Arial" w:cs="Arial"/>
          <w:noProof/>
          <w:sz w:val="20"/>
          <w:szCs w:val="20"/>
        </w:rPr>
      </w:pPr>
    </w:p>
    <w:sectPr w:rsidR="000A7AB2" w:rsidSect="001F5BE4">
      <w:pgSz w:w="11906" w:h="16838"/>
      <w:pgMar w:top="1701" w:right="1701" w:bottom="1701"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F8F" w:rsidRDefault="00961F8F" w:rsidP="00334117">
      <w:pPr>
        <w:spacing w:after="0" w:line="240" w:lineRule="auto"/>
      </w:pPr>
      <w:r>
        <w:separator/>
      </w:r>
    </w:p>
  </w:endnote>
  <w:endnote w:type="continuationSeparator" w:id="0">
    <w:p w:rsidR="00961F8F" w:rsidRDefault="00961F8F" w:rsidP="0033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08342"/>
      <w:docPartObj>
        <w:docPartGallery w:val="Page Numbers (Bottom of Page)"/>
        <w:docPartUnique/>
      </w:docPartObj>
    </w:sdtPr>
    <w:sdtEndPr/>
    <w:sdtContent>
      <w:p w:rsidR="00BA60F5" w:rsidRDefault="00BA60F5">
        <w:pPr>
          <w:pStyle w:val="Footer"/>
          <w:jc w:val="right"/>
        </w:pPr>
        <w:r>
          <w:fldChar w:fldCharType="begin"/>
        </w:r>
        <w:r>
          <w:instrText>PAGE   \* MERGEFORMAT</w:instrText>
        </w:r>
        <w:r>
          <w:fldChar w:fldCharType="separate"/>
        </w:r>
        <w:r w:rsidR="003168BC" w:rsidRPr="003168BC">
          <w:rPr>
            <w:noProof/>
            <w:lang w:val="es-ES"/>
          </w:rPr>
          <w:t>19</w:t>
        </w:r>
        <w:r>
          <w:fldChar w:fldCharType="end"/>
        </w:r>
      </w:p>
    </w:sdtContent>
  </w:sdt>
  <w:p w:rsidR="00BA60F5" w:rsidRPr="005D405C" w:rsidRDefault="00BA60F5" w:rsidP="001E71A8">
    <w:pPr>
      <w:autoSpaceDE w:val="0"/>
      <w:autoSpaceDN w:val="0"/>
      <w:adjustRightInd w:val="0"/>
      <w:rPr>
        <w:rFonts w:ascii="Times New Roman" w:hAnsi="Times New Roman"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F5" w:rsidRPr="001E71A8" w:rsidRDefault="00BA60F5" w:rsidP="001E71A8">
    <w:pPr>
      <w:pStyle w:val="Footer"/>
      <w:rPr>
        <w:rFonts w:ascii="Times New Roman" w:hAnsi="Times New Roman" w:cs="Times New Roman"/>
        <w:color w:val="000000"/>
        <w:lang w:val="es-ES"/>
      </w:rPr>
    </w:pPr>
    <w:r w:rsidRPr="001E71A8">
      <w:rPr>
        <w:rFonts w:ascii="Times New Roman" w:hAnsi="Times New Roman" w:cs="Times New Roman"/>
        <w:color w:val="000000"/>
        <w:vertAlign w:val="superscript"/>
        <w:lang w:val="es-ES"/>
      </w:rPr>
      <w:t xml:space="preserve">1 </w:t>
    </w:r>
    <w:r w:rsidRPr="001E71A8">
      <w:rPr>
        <w:rFonts w:ascii="Times New Roman" w:hAnsi="Times New Roman" w:cs="Times New Roman"/>
        <w:color w:val="000000"/>
        <w:lang w:val="es-ES"/>
      </w:rPr>
      <w:t>Instituto de Ingeniería de Alimentos para el Desarrollo (IU-IAD).</w:t>
    </w:r>
  </w:p>
  <w:p w:rsidR="00BA60F5" w:rsidRPr="005D405C" w:rsidRDefault="00BA60F5" w:rsidP="001E71A8">
    <w:pPr>
      <w:pStyle w:val="Footer"/>
      <w:rPr>
        <w:sz w:val="16"/>
        <w:szCs w:val="16"/>
      </w:rPr>
    </w:pPr>
    <w:r w:rsidRPr="001E71A8">
      <w:rPr>
        <w:rFonts w:ascii="Times New Roman" w:hAnsi="Times New Roman" w:cs="Times New Roman"/>
        <w:color w:val="000000"/>
        <w:lang w:val="es-ES"/>
      </w:rPr>
      <w:t xml:space="preserve">2. Grupo de Investigación e Innovación Alimentaria (CUINA). Departamento de Tecnología de Alimentos. Universidad Politécnica de Valencia. Camino de Vera s/n. 46022. Valencia. </w:t>
    </w:r>
    <w:r>
      <w:rPr>
        <w:rFonts w:ascii="Times New Roman" w:hAnsi="Times New Roman" w:cs="Times New Roman"/>
        <w:color w:val="000000"/>
      </w:rPr>
      <w:t>España</w:t>
    </w:r>
  </w:p>
  <w:p w:rsidR="00BA60F5" w:rsidRDefault="00BA60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F8F" w:rsidRDefault="00961F8F" w:rsidP="00334117">
      <w:pPr>
        <w:spacing w:after="0" w:line="240" w:lineRule="auto"/>
      </w:pPr>
      <w:r>
        <w:separator/>
      </w:r>
    </w:p>
  </w:footnote>
  <w:footnote w:type="continuationSeparator" w:id="0">
    <w:p w:rsidR="00961F8F" w:rsidRDefault="00961F8F" w:rsidP="00334117">
      <w:pPr>
        <w:spacing w:after="0" w:line="240" w:lineRule="auto"/>
      </w:pPr>
      <w:r>
        <w:continuationSeparator/>
      </w:r>
    </w:p>
  </w:footnote>
  <w:footnote w:id="1">
    <w:p w:rsidR="00BA60F5" w:rsidRPr="00E65E02" w:rsidRDefault="00BA60F5" w:rsidP="00334117">
      <w:pPr>
        <w:pStyle w:val="FootnoteText"/>
        <w:rPr>
          <w:lang w:val="es-ES"/>
        </w:rPr>
      </w:pPr>
      <w:r>
        <w:rPr>
          <w:rStyle w:val="FootnoteReference"/>
        </w:rPr>
        <w:footnoteRef/>
      </w:r>
      <w:r w:rsidRPr="00F47040">
        <w:rPr>
          <w:lang w:val="es-ES"/>
        </w:rPr>
        <w:t xml:space="preserve"> </w:t>
      </w:r>
      <w:r>
        <w:rPr>
          <w:lang w:val="es-ES"/>
        </w:rPr>
        <w:t>Grupo de Investigación e Innovación Alimentaria, Departamento de Tecnología de Alimentos</w:t>
      </w:r>
      <w:r w:rsidRPr="00F47040">
        <w:rPr>
          <w:lang w:val="es-ES"/>
        </w:rPr>
        <w:t xml:space="preserve">, Universidad Politécnica de Valencia. </w:t>
      </w:r>
      <w:r w:rsidRPr="00E65E02">
        <w:rPr>
          <w:lang w:val="es-ES"/>
        </w:rPr>
        <w:t>Camí de Vera s/n, E-46022 Valencia, España.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F6357"/>
    <w:multiLevelType w:val="hybridMultilevel"/>
    <w:tmpl w:val="B85E75D6"/>
    <w:lvl w:ilvl="0" w:tplc="60283A44">
      <w:start w:val="1"/>
      <w:numFmt w:val="decimal"/>
      <w:lvlText w:val="(%1)"/>
      <w:lvlJc w:val="left"/>
      <w:pPr>
        <w:ind w:left="704" w:hanging="4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nsid w:val="07882CE0"/>
    <w:multiLevelType w:val="multilevel"/>
    <w:tmpl w:val="46BABF0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573E3AB7"/>
    <w:multiLevelType w:val="hybridMultilevel"/>
    <w:tmpl w:val="8EBAF56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117"/>
    <w:rsid w:val="00013DA0"/>
    <w:rsid w:val="000140F5"/>
    <w:rsid w:val="0002314D"/>
    <w:rsid w:val="00023705"/>
    <w:rsid w:val="000257CD"/>
    <w:rsid w:val="00025BEC"/>
    <w:rsid w:val="00032E48"/>
    <w:rsid w:val="00033B4E"/>
    <w:rsid w:val="00033F20"/>
    <w:rsid w:val="00036E51"/>
    <w:rsid w:val="00054B2A"/>
    <w:rsid w:val="000702B7"/>
    <w:rsid w:val="0007056D"/>
    <w:rsid w:val="000714EC"/>
    <w:rsid w:val="000731B1"/>
    <w:rsid w:val="0007627C"/>
    <w:rsid w:val="000821AF"/>
    <w:rsid w:val="00085592"/>
    <w:rsid w:val="000A3CF6"/>
    <w:rsid w:val="000A4069"/>
    <w:rsid w:val="000A6004"/>
    <w:rsid w:val="000A7AB2"/>
    <w:rsid w:val="000D2528"/>
    <w:rsid w:val="000D2748"/>
    <w:rsid w:val="000D4D16"/>
    <w:rsid w:val="000D6876"/>
    <w:rsid w:val="000D7EED"/>
    <w:rsid w:val="000E05BF"/>
    <w:rsid w:val="000F3423"/>
    <w:rsid w:val="000F795F"/>
    <w:rsid w:val="00107B39"/>
    <w:rsid w:val="00114138"/>
    <w:rsid w:val="001266DE"/>
    <w:rsid w:val="00133DD7"/>
    <w:rsid w:val="00143D07"/>
    <w:rsid w:val="00150F16"/>
    <w:rsid w:val="00151BE3"/>
    <w:rsid w:val="00175A0B"/>
    <w:rsid w:val="00180A97"/>
    <w:rsid w:val="0018629D"/>
    <w:rsid w:val="001C1166"/>
    <w:rsid w:val="001C1D39"/>
    <w:rsid w:val="001D28B4"/>
    <w:rsid w:val="001E71A8"/>
    <w:rsid w:val="001F5BE4"/>
    <w:rsid w:val="001F7616"/>
    <w:rsid w:val="00202C73"/>
    <w:rsid w:val="00204E84"/>
    <w:rsid w:val="00210DEA"/>
    <w:rsid w:val="00224B1E"/>
    <w:rsid w:val="00231D78"/>
    <w:rsid w:val="00234195"/>
    <w:rsid w:val="00264ABF"/>
    <w:rsid w:val="00266A25"/>
    <w:rsid w:val="00267D15"/>
    <w:rsid w:val="00271B22"/>
    <w:rsid w:val="00274605"/>
    <w:rsid w:val="00277A2F"/>
    <w:rsid w:val="00280ABF"/>
    <w:rsid w:val="00283D97"/>
    <w:rsid w:val="002875BB"/>
    <w:rsid w:val="002A0D1C"/>
    <w:rsid w:val="002A5C7E"/>
    <w:rsid w:val="002B6FE2"/>
    <w:rsid w:val="002C120F"/>
    <w:rsid w:val="002C1290"/>
    <w:rsid w:val="002C3562"/>
    <w:rsid w:val="002D1A0A"/>
    <w:rsid w:val="002D67D3"/>
    <w:rsid w:val="0030046C"/>
    <w:rsid w:val="00300851"/>
    <w:rsid w:val="00303A33"/>
    <w:rsid w:val="003168BC"/>
    <w:rsid w:val="003243DE"/>
    <w:rsid w:val="00325304"/>
    <w:rsid w:val="00330F36"/>
    <w:rsid w:val="00332497"/>
    <w:rsid w:val="00334117"/>
    <w:rsid w:val="00337947"/>
    <w:rsid w:val="00340644"/>
    <w:rsid w:val="00342441"/>
    <w:rsid w:val="00344E28"/>
    <w:rsid w:val="00350733"/>
    <w:rsid w:val="00352FC2"/>
    <w:rsid w:val="00356744"/>
    <w:rsid w:val="00361842"/>
    <w:rsid w:val="00375713"/>
    <w:rsid w:val="003A1852"/>
    <w:rsid w:val="003A3A25"/>
    <w:rsid w:val="003D1AC2"/>
    <w:rsid w:val="003D1BEB"/>
    <w:rsid w:val="003F010C"/>
    <w:rsid w:val="003F2740"/>
    <w:rsid w:val="003F7867"/>
    <w:rsid w:val="00407A0B"/>
    <w:rsid w:val="004143B5"/>
    <w:rsid w:val="004173E1"/>
    <w:rsid w:val="00424049"/>
    <w:rsid w:val="00425B65"/>
    <w:rsid w:val="004534AC"/>
    <w:rsid w:val="004545C6"/>
    <w:rsid w:val="0045707D"/>
    <w:rsid w:val="00457651"/>
    <w:rsid w:val="0047147E"/>
    <w:rsid w:val="004775A5"/>
    <w:rsid w:val="00477E0F"/>
    <w:rsid w:val="00481E9E"/>
    <w:rsid w:val="00482127"/>
    <w:rsid w:val="004851B4"/>
    <w:rsid w:val="00486C14"/>
    <w:rsid w:val="00496B1E"/>
    <w:rsid w:val="00497675"/>
    <w:rsid w:val="004A0DA6"/>
    <w:rsid w:val="004A2322"/>
    <w:rsid w:val="004A5B8D"/>
    <w:rsid w:val="004B08F0"/>
    <w:rsid w:val="004B4FC4"/>
    <w:rsid w:val="004B71BE"/>
    <w:rsid w:val="004B7886"/>
    <w:rsid w:val="004C45F3"/>
    <w:rsid w:val="004E05D6"/>
    <w:rsid w:val="004F03A1"/>
    <w:rsid w:val="004F0A2B"/>
    <w:rsid w:val="005013F3"/>
    <w:rsid w:val="00503835"/>
    <w:rsid w:val="00505DA2"/>
    <w:rsid w:val="0051088D"/>
    <w:rsid w:val="005164AD"/>
    <w:rsid w:val="00517788"/>
    <w:rsid w:val="00521E08"/>
    <w:rsid w:val="00525F45"/>
    <w:rsid w:val="00527C18"/>
    <w:rsid w:val="00532F9D"/>
    <w:rsid w:val="00535F49"/>
    <w:rsid w:val="00543596"/>
    <w:rsid w:val="005463D0"/>
    <w:rsid w:val="00557674"/>
    <w:rsid w:val="00557EE8"/>
    <w:rsid w:val="00562D6E"/>
    <w:rsid w:val="005643E1"/>
    <w:rsid w:val="00572087"/>
    <w:rsid w:val="005746B2"/>
    <w:rsid w:val="00577632"/>
    <w:rsid w:val="005839C7"/>
    <w:rsid w:val="0058456F"/>
    <w:rsid w:val="00584CC0"/>
    <w:rsid w:val="00587010"/>
    <w:rsid w:val="00595565"/>
    <w:rsid w:val="005A1337"/>
    <w:rsid w:val="005A2CB4"/>
    <w:rsid w:val="005A6063"/>
    <w:rsid w:val="005A7325"/>
    <w:rsid w:val="005A7F33"/>
    <w:rsid w:val="005B0CBC"/>
    <w:rsid w:val="005B1108"/>
    <w:rsid w:val="005C2D5A"/>
    <w:rsid w:val="005C367B"/>
    <w:rsid w:val="005D3DDD"/>
    <w:rsid w:val="005D4187"/>
    <w:rsid w:val="005D4C70"/>
    <w:rsid w:val="005D74F2"/>
    <w:rsid w:val="005E14B4"/>
    <w:rsid w:val="005E186D"/>
    <w:rsid w:val="005E32B4"/>
    <w:rsid w:val="00600EC2"/>
    <w:rsid w:val="006127C9"/>
    <w:rsid w:val="006175D2"/>
    <w:rsid w:val="0062323F"/>
    <w:rsid w:val="00623849"/>
    <w:rsid w:val="00630C87"/>
    <w:rsid w:val="00634BD3"/>
    <w:rsid w:val="00645C5A"/>
    <w:rsid w:val="00650299"/>
    <w:rsid w:val="006521C6"/>
    <w:rsid w:val="006664DF"/>
    <w:rsid w:val="006764B7"/>
    <w:rsid w:val="00680921"/>
    <w:rsid w:val="00682AD2"/>
    <w:rsid w:val="006872FE"/>
    <w:rsid w:val="006873DC"/>
    <w:rsid w:val="00692087"/>
    <w:rsid w:val="006923CB"/>
    <w:rsid w:val="00693369"/>
    <w:rsid w:val="006B4FAC"/>
    <w:rsid w:val="006D067A"/>
    <w:rsid w:val="006D2654"/>
    <w:rsid w:val="006E0DD7"/>
    <w:rsid w:val="006E1890"/>
    <w:rsid w:val="00703EF9"/>
    <w:rsid w:val="00707944"/>
    <w:rsid w:val="00713342"/>
    <w:rsid w:val="00737933"/>
    <w:rsid w:val="007412FA"/>
    <w:rsid w:val="00741D9A"/>
    <w:rsid w:val="00757C97"/>
    <w:rsid w:val="007703A1"/>
    <w:rsid w:val="00780832"/>
    <w:rsid w:val="00795C6C"/>
    <w:rsid w:val="007B035A"/>
    <w:rsid w:val="007B3233"/>
    <w:rsid w:val="007B6949"/>
    <w:rsid w:val="007D0CEA"/>
    <w:rsid w:val="007D601D"/>
    <w:rsid w:val="007D673C"/>
    <w:rsid w:val="007D7A60"/>
    <w:rsid w:val="007E6F3E"/>
    <w:rsid w:val="007F13F2"/>
    <w:rsid w:val="007F2B5C"/>
    <w:rsid w:val="007F37D2"/>
    <w:rsid w:val="007F59B6"/>
    <w:rsid w:val="00802E21"/>
    <w:rsid w:val="00811560"/>
    <w:rsid w:val="00812CDF"/>
    <w:rsid w:val="00820542"/>
    <w:rsid w:val="008352B1"/>
    <w:rsid w:val="00846CE5"/>
    <w:rsid w:val="0085075C"/>
    <w:rsid w:val="00854AE7"/>
    <w:rsid w:val="00856779"/>
    <w:rsid w:val="00863BA5"/>
    <w:rsid w:val="0087160F"/>
    <w:rsid w:val="0089028A"/>
    <w:rsid w:val="00890A3B"/>
    <w:rsid w:val="008938A4"/>
    <w:rsid w:val="008A29BE"/>
    <w:rsid w:val="008B1375"/>
    <w:rsid w:val="008B2C4F"/>
    <w:rsid w:val="008B491B"/>
    <w:rsid w:val="008C2AE1"/>
    <w:rsid w:val="008C5AC5"/>
    <w:rsid w:val="008E4461"/>
    <w:rsid w:val="008E5281"/>
    <w:rsid w:val="008F07D2"/>
    <w:rsid w:val="00906BE7"/>
    <w:rsid w:val="00911864"/>
    <w:rsid w:val="00914767"/>
    <w:rsid w:val="009159E9"/>
    <w:rsid w:val="00917550"/>
    <w:rsid w:val="009201DC"/>
    <w:rsid w:val="0092789C"/>
    <w:rsid w:val="00936AD5"/>
    <w:rsid w:val="009508F0"/>
    <w:rsid w:val="009514A4"/>
    <w:rsid w:val="009531E1"/>
    <w:rsid w:val="00961F8F"/>
    <w:rsid w:val="00963878"/>
    <w:rsid w:val="00966161"/>
    <w:rsid w:val="009670E6"/>
    <w:rsid w:val="00975F0B"/>
    <w:rsid w:val="0098615B"/>
    <w:rsid w:val="00993900"/>
    <w:rsid w:val="00997DF1"/>
    <w:rsid w:val="009B1E17"/>
    <w:rsid w:val="009C17F7"/>
    <w:rsid w:val="009D3D5A"/>
    <w:rsid w:val="009E4A35"/>
    <w:rsid w:val="009E4C3A"/>
    <w:rsid w:val="00A039EF"/>
    <w:rsid w:val="00A06A9C"/>
    <w:rsid w:val="00A20D29"/>
    <w:rsid w:val="00A210ED"/>
    <w:rsid w:val="00A266AF"/>
    <w:rsid w:val="00A30A63"/>
    <w:rsid w:val="00A50A87"/>
    <w:rsid w:val="00A5124B"/>
    <w:rsid w:val="00A6072C"/>
    <w:rsid w:val="00A63E38"/>
    <w:rsid w:val="00A663AD"/>
    <w:rsid w:val="00A816FD"/>
    <w:rsid w:val="00A91032"/>
    <w:rsid w:val="00A977CA"/>
    <w:rsid w:val="00A977D9"/>
    <w:rsid w:val="00AA2985"/>
    <w:rsid w:val="00AB6B42"/>
    <w:rsid w:val="00AB792D"/>
    <w:rsid w:val="00AC0CD9"/>
    <w:rsid w:val="00AD13A9"/>
    <w:rsid w:val="00AD440D"/>
    <w:rsid w:val="00AE74B2"/>
    <w:rsid w:val="00AF1C27"/>
    <w:rsid w:val="00AF6421"/>
    <w:rsid w:val="00B0405B"/>
    <w:rsid w:val="00B05C50"/>
    <w:rsid w:val="00B204D9"/>
    <w:rsid w:val="00B23E80"/>
    <w:rsid w:val="00B30847"/>
    <w:rsid w:val="00B3212D"/>
    <w:rsid w:val="00B3390C"/>
    <w:rsid w:val="00B33C52"/>
    <w:rsid w:val="00B4789B"/>
    <w:rsid w:val="00B55480"/>
    <w:rsid w:val="00B570ED"/>
    <w:rsid w:val="00B60270"/>
    <w:rsid w:val="00B83852"/>
    <w:rsid w:val="00B84090"/>
    <w:rsid w:val="00B84AB5"/>
    <w:rsid w:val="00B9214E"/>
    <w:rsid w:val="00BA095E"/>
    <w:rsid w:val="00BA16B7"/>
    <w:rsid w:val="00BA48C8"/>
    <w:rsid w:val="00BA60F5"/>
    <w:rsid w:val="00BB02D2"/>
    <w:rsid w:val="00BB0792"/>
    <w:rsid w:val="00BB5CE9"/>
    <w:rsid w:val="00BC2C93"/>
    <w:rsid w:val="00BC4B8D"/>
    <w:rsid w:val="00BD63D1"/>
    <w:rsid w:val="00BE2DCE"/>
    <w:rsid w:val="00BE6C65"/>
    <w:rsid w:val="00BE7D0B"/>
    <w:rsid w:val="00BF137B"/>
    <w:rsid w:val="00BF2A49"/>
    <w:rsid w:val="00BF4FE2"/>
    <w:rsid w:val="00C058E6"/>
    <w:rsid w:val="00C11E9A"/>
    <w:rsid w:val="00C14BED"/>
    <w:rsid w:val="00C206C9"/>
    <w:rsid w:val="00C245C4"/>
    <w:rsid w:val="00C263EF"/>
    <w:rsid w:val="00C3323C"/>
    <w:rsid w:val="00C35CCB"/>
    <w:rsid w:val="00C42776"/>
    <w:rsid w:val="00C43AC2"/>
    <w:rsid w:val="00C443E5"/>
    <w:rsid w:val="00C523AD"/>
    <w:rsid w:val="00C53CC3"/>
    <w:rsid w:val="00C631DB"/>
    <w:rsid w:val="00C74669"/>
    <w:rsid w:val="00C80DC3"/>
    <w:rsid w:val="00C81BF4"/>
    <w:rsid w:val="00C90C1D"/>
    <w:rsid w:val="00C9300B"/>
    <w:rsid w:val="00C94EF9"/>
    <w:rsid w:val="00C95AAB"/>
    <w:rsid w:val="00CA2755"/>
    <w:rsid w:val="00CB5911"/>
    <w:rsid w:val="00CC158D"/>
    <w:rsid w:val="00CD0FF8"/>
    <w:rsid w:val="00CD7F82"/>
    <w:rsid w:val="00CE2C56"/>
    <w:rsid w:val="00CE419F"/>
    <w:rsid w:val="00CF2BB4"/>
    <w:rsid w:val="00CF312B"/>
    <w:rsid w:val="00D06DFC"/>
    <w:rsid w:val="00D13BA8"/>
    <w:rsid w:val="00D1527E"/>
    <w:rsid w:val="00D158D2"/>
    <w:rsid w:val="00D22260"/>
    <w:rsid w:val="00D24ED9"/>
    <w:rsid w:val="00D30BD1"/>
    <w:rsid w:val="00D436A5"/>
    <w:rsid w:val="00D51287"/>
    <w:rsid w:val="00D52951"/>
    <w:rsid w:val="00D54E43"/>
    <w:rsid w:val="00D8110A"/>
    <w:rsid w:val="00D820BC"/>
    <w:rsid w:val="00D84752"/>
    <w:rsid w:val="00D863ED"/>
    <w:rsid w:val="00D917BA"/>
    <w:rsid w:val="00D94D9C"/>
    <w:rsid w:val="00D95F70"/>
    <w:rsid w:val="00DA435B"/>
    <w:rsid w:val="00DA7D96"/>
    <w:rsid w:val="00DB0BE7"/>
    <w:rsid w:val="00DB0C3F"/>
    <w:rsid w:val="00DB1D66"/>
    <w:rsid w:val="00DB3AB4"/>
    <w:rsid w:val="00DC420D"/>
    <w:rsid w:val="00DD7908"/>
    <w:rsid w:val="00DE049B"/>
    <w:rsid w:val="00DE1788"/>
    <w:rsid w:val="00E048AA"/>
    <w:rsid w:val="00E35537"/>
    <w:rsid w:val="00E37182"/>
    <w:rsid w:val="00E3761C"/>
    <w:rsid w:val="00E407D9"/>
    <w:rsid w:val="00E6041B"/>
    <w:rsid w:val="00E658BC"/>
    <w:rsid w:val="00E65B33"/>
    <w:rsid w:val="00E66033"/>
    <w:rsid w:val="00E665B0"/>
    <w:rsid w:val="00E67AF7"/>
    <w:rsid w:val="00E67E48"/>
    <w:rsid w:val="00E7107B"/>
    <w:rsid w:val="00E71D30"/>
    <w:rsid w:val="00E721FA"/>
    <w:rsid w:val="00E72F63"/>
    <w:rsid w:val="00E87D2D"/>
    <w:rsid w:val="00E908D8"/>
    <w:rsid w:val="00E9209B"/>
    <w:rsid w:val="00E92BD5"/>
    <w:rsid w:val="00EA13F4"/>
    <w:rsid w:val="00EA33F2"/>
    <w:rsid w:val="00EA4C8E"/>
    <w:rsid w:val="00EA7A41"/>
    <w:rsid w:val="00EB3730"/>
    <w:rsid w:val="00EC386F"/>
    <w:rsid w:val="00EC5C91"/>
    <w:rsid w:val="00ED0606"/>
    <w:rsid w:val="00ED0AAE"/>
    <w:rsid w:val="00ED61BC"/>
    <w:rsid w:val="00EF0B42"/>
    <w:rsid w:val="00EF2766"/>
    <w:rsid w:val="00EF5D5F"/>
    <w:rsid w:val="00F0579A"/>
    <w:rsid w:val="00F1290B"/>
    <w:rsid w:val="00F276F4"/>
    <w:rsid w:val="00F358F5"/>
    <w:rsid w:val="00F55DD1"/>
    <w:rsid w:val="00F60E94"/>
    <w:rsid w:val="00F71431"/>
    <w:rsid w:val="00F82A3C"/>
    <w:rsid w:val="00F83064"/>
    <w:rsid w:val="00F871F0"/>
    <w:rsid w:val="00F9394F"/>
    <w:rsid w:val="00F94747"/>
    <w:rsid w:val="00F9746D"/>
    <w:rsid w:val="00F97F4C"/>
    <w:rsid w:val="00FA0D6D"/>
    <w:rsid w:val="00FC0E54"/>
    <w:rsid w:val="00FC23FF"/>
    <w:rsid w:val="00FC2A1C"/>
    <w:rsid w:val="00FC545E"/>
    <w:rsid w:val="00FC5853"/>
    <w:rsid w:val="00FC7386"/>
    <w:rsid w:val="00FD11E7"/>
    <w:rsid w:val="00FD496D"/>
    <w:rsid w:val="00FD4D1E"/>
    <w:rsid w:val="00FE0425"/>
    <w:rsid w:val="00FF276F"/>
    <w:rsid w:val="00FF4D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E1AF0D-E145-4A85-9997-6717D4FD5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ind w:firstLine="3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14"/>
    <w:rPr>
      <w:rFonts w:ascii="Arial" w:hAnsi="Arial"/>
      <w:sz w:val="24"/>
      <w:lang w:val="en-GB"/>
    </w:rPr>
  </w:style>
  <w:style w:type="paragraph" w:styleId="Heading1">
    <w:name w:val="heading 1"/>
    <w:basedOn w:val="Normal"/>
    <w:next w:val="Normal"/>
    <w:link w:val="Heading1Char"/>
    <w:uiPriority w:val="9"/>
    <w:qFormat/>
    <w:rsid w:val="00C443E5"/>
    <w:pPr>
      <w:keepNext/>
      <w:keepLines/>
      <w:numPr>
        <w:numId w:val="3"/>
      </w:numPr>
      <w:spacing w:before="480" w:after="0" w:line="360" w:lineRule="auto"/>
      <w:ind w:left="0" w:firstLine="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332497"/>
    <w:pPr>
      <w:numPr>
        <w:ilvl w:val="1"/>
        <w:numId w:val="3"/>
      </w:numPr>
      <w:spacing w:after="0" w:line="360" w:lineRule="auto"/>
      <w:outlineLvl w:val="1"/>
    </w:pPr>
    <w:rPr>
      <w:rFonts w:eastAsiaTheme="minorEastAsia" w:cs="Arial"/>
      <w:b/>
      <w:szCs w:val="24"/>
      <w:lang w:val="es-ES_tradnl"/>
    </w:rPr>
  </w:style>
  <w:style w:type="paragraph" w:styleId="Heading3">
    <w:name w:val="heading 3"/>
    <w:basedOn w:val="Normal"/>
    <w:next w:val="Normal"/>
    <w:link w:val="Heading3Char"/>
    <w:uiPriority w:val="9"/>
    <w:unhideWhenUsed/>
    <w:qFormat/>
    <w:rsid w:val="005A6063"/>
    <w:pPr>
      <w:numPr>
        <w:ilvl w:val="2"/>
        <w:numId w:val="3"/>
      </w:numPr>
      <w:spacing w:after="0" w:line="240" w:lineRule="auto"/>
      <w:outlineLvl w:val="2"/>
    </w:pPr>
    <w:rPr>
      <w:rFonts w:eastAsia="Times New Roman" w:cs="Arial"/>
      <w:caps/>
      <w:szCs w:val="24"/>
      <w:lang w:val="es-ES"/>
    </w:rPr>
  </w:style>
  <w:style w:type="paragraph" w:styleId="Heading4">
    <w:name w:val="heading 4"/>
    <w:basedOn w:val="Normal"/>
    <w:next w:val="Normal"/>
    <w:link w:val="Heading4Char"/>
    <w:uiPriority w:val="9"/>
    <w:semiHidden/>
    <w:unhideWhenUsed/>
    <w:qFormat/>
    <w:rsid w:val="009E4A35"/>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4A35"/>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4A35"/>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4A35"/>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4A35"/>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4A35"/>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341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4117"/>
    <w:rPr>
      <w:sz w:val="20"/>
      <w:szCs w:val="20"/>
      <w:lang w:val="en-GB"/>
    </w:rPr>
  </w:style>
  <w:style w:type="character" w:styleId="FootnoteReference">
    <w:name w:val="footnote reference"/>
    <w:basedOn w:val="DefaultParagraphFont"/>
    <w:uiPriority w:val="99"/>
    <w:semiHidden/>
    <w:unhideWhenUsed/>
    <w:rsid w:val="00334117"/>
    <w:rPr>
      <w:vertAlign w:val="superscript"/>
    </w:rPr>
  </w:style>
  <w:style w:type="character" w:styleId="CommentReference">
    <w:name w:val="annotation reference"/>
    <w:basedOn w:val="DefaultParagraphFont"/>
    <w:uiPriority w:val="99"/>
    <w:semiHidden/>
    <w:unhideWhenUsed/>
    <w:rsid w:val="00334117"/>
    <w:rPr>
      <w:sz w:val="16"/>
      <w:szCs w:val="16"/>
    </w:rPr>
  </w:style>
  <w:style w:type="paragraph" w:styleId="CommentText">
    <w:name w:val="annotation text"/>
    <w:basedOn w:val="Normal"/>
    <w:link w:val="CommentTextChar"/>
    <w:uiPriority w:val="99"/>
    <w:semiHidden/>
    <w:unhideWhenUsed/>
    <w:rsid w:val="00334117"/>
    <w:pPr>
      <w:spacing w:line="240" w:lineRule="auto"/>
    </w:pPr>
    <w:rPr>
      <w:sz w:val="20"/>
      <w:szCs w:val="20"/>
    </w:rPr>
  </w:style>
  <w:style w:type="character" w:customStyle="1" w:styleId="CommentTextChar">
    <w:name w:val="Comment Text Char"/>
    <w:basedOn w:val="DefaultParagraphFont"/>
    <w:link w:val="CommentText"/>
    <w:uiPriority w:val="99"/>
    <w:semiHidden/>
    <w:rsid w:val="00334117"/>
    <w:rPr>
      <w:sz w:val="20"/>
      <w:szCs w:val="20"/>
      <w:lang w:val="en-GB"/>
    </w:rPr>
  </w:style>
  <w:style w:type="paragraph" w:styleId="NormalWeb">
    <w:name w:val="Normal (Web)"/>
    <w:basedOn w:val="Normal"/>
    <w:uiPriority w:val="99"/>
    <w:unhideWhenUsed/>
    <w:rsid w:val="00334117"/>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BalloonText">
    <w:name w:val="Balloon Text"/>
    <w:basedOn w:val="Normal"/>
    <w:link w:val="BalloonTextChar"/>
    <w:uiPriority w:val="99"/>
    <w:semiHidden/>
    <w:unhideWhenUsed/>
    <w:rsid w:val="00334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117"/>
    <w:rPr>
      <w:rFonts w:ascii="Tahoma" w:hAnsi="Tahoma" w:cs="Tahoma"/>
      <w:sz w:val="16"/>
      <w:szCs w:val="16"/>
      <w:lang w:val="en-GB"/>
    </w:rPr>
  </w:style>
  <w:style w:type="paragraph" w:styleId="Revision">
    <w:name w:val="Revision"/>
    <w:hidden/>
    <w:uiPriority w:val="99"/>
    <w:semiHidden/>
    <w:rsid w:val="00334117"/>
    <w:pPr>
      <w:spacing w:after="0" w:line="240" w:lineRule="auto"/>
    </w:pPr>
    <w:rPr>
      <w:lang w:val="en-GB"/>
    </w:rPr>
  </w:style>
  <w:style w:type="character" w:customStyle="1" w:styleId="Heading2Char">
    <w:name w:val="Heading 2 Char"/>
    <w:basedOn w:val="DefaultParagraphFont"/>
    <w:link w:val="Heading2"/>
    <w:uiPriority w:val="9"/>
    <w:rsid w:val="00332497"/>
    <w:rPr>
      <w:rFonts w:ascii="Arial" w:eastAsiaTheme="minorEastAsia" w:hAnsi="Arial" w:cs="Arial"/>
      <w:b/>
      <w:sz w:val="24"/>
      <w:szCs w:val="24"/>
      <w:lang w:val="es-ES_tradnl"/>
    </w:rPr>
  </w:style>
  <w:style w:type="character" w:customStyle="1" w:styleId="Heading3Char">
    <w:name w:val="Heading 3 Char"/>
    <w:basedOn w:val="DefaultParagraphFont"/>
    <w:link w:val="Heading3"/>
    <w:uiPriority w:val="9"/>
    <w:rsid w:val="005A6063"/>
    <w:rPr>
      <w:rFonts w:ascii="Arial" w:eastAsia="Times New Roman" w:hAnsi="Arial" w:cs="Arial"/>
      <w:caps/>
      <w:sz w:val="24"/>
      <w:szCs w:val="24"/>
    </w:rPr>
  </w:style>
  <w:style w:type="table" w:styleId="TableGrid">
    <w:name w:val="Table Grid"/>
    <w:basedOn w:val="TableNormal"/>
    <w:uiPriority w:val="59"/>
    <w:rsid w:val="009531E1"/>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9531E1"/>
  </w:style>
  <w:style w:type="character" w:customStyle="1" w:styleId="atn">
    <w:name w:val="atn"/>
    <w:basedOn w:val="DefaultParagraphFont"/>
    <w:rsid w:val="009531E1"/>
  </w:style>
  <w:style w:type="character" w:customStyle="1" w:styleId="shorttext">
    <w:name w:val="short_text"/>
    <w:basedOn w:val="DefaultParagraphFont"/>
    <w:rsid w:val="009531E1"/>
  </w:style>
  <w:style w:type="paragraph" w:styleId="Footer">
    <w:name w:val="footer"/>
    <w:basedOn w:val="Normal"/>
    <w:link w:val="FooterChar"/>
    <w:uiPriority w:val="99"/>
    <w:unhideWhenUsed/>
    <w:rsid w:val="009531E1"/>
    <w:pPr>
      <w:tabs>
        <w:tab w:val="center" w:pos="4252"/>
        <w:tab w:val="right" w:pos="8504"/>
      </w:tabs>
      <w:spacing w:after="0" w:line="240" w:lineRule="auto"/>
    </w:pPr>
  </w:style>
  <w:style w:type="character" w:customStyle="1" w:styleId="FooterChar">
    <w:name w:val="Footer Char"/>
    <w:basedOn w:val="DefaultParagraphFont"/>
    <w:link w:val="Footer"/>
    <w:uiPriority w:val="99"/>
    <w:rsid w:val="009531E1"/>
    <w:rPr>
      <w:lang w:val="en-GB"/>
    </w:rPr>
  </w:style>
  <w:style w:type="paragraph" w:styleId="NoSpacing">
    <w:name w:val="No Spacing"/>
    <w:basedOn w:val="Normal"/>
    <w:link w:val="NoSpacingChar"/>
    <w:uiPriority w:val="1"/>
    <w:qFormat/>
    <w:rsid w:val="00EC386F"/>
    <w:pPr>
      <w:spacing w:after="0" w:line="240" w:lineRule="auto"/>
    </w:pPr>
    <w:rPr>
      <w:rFonts w:eastAsiaTheme="minorEastAsia"/>
      <w:sz w:val="20"/>
      <w:szCs w:val="20"/>
      <w:lang w:val="en-US" w:bidi="en-US"/>
    </w:rPr>
  </w:style>
  <w:style w:type="character" w:customStyle="1" w:styleId="NoSpacingChar">
    <w:name w:val="No Spacing Char"/>
    <w:basedOn w:val="DefaultParagraphFont"/>
    <w:link w:val="NoSpacing"/>
    <w:uiPriority w:val="1"/>
    <w:rsid w:val="00EC386F"/>
    <w:rPr>
      <w:rFonts w:eastAsiaTheme="minorEastAsia"/>
      <w:sz w:val="20"/>
      <w:szCs w:val="20"/>
      <w:lang w:val="en-US" w:bidi="en-US"/>
    </w:rPr>
  </w:style>
  <w:style w:type="paragraph" w:styleId="ListParagraph">
    <w:name w:val="List Paragraph"/>
    <w:basedOn w:val="Normal"/>
    <w:uiPriority w:val="34"/>
    <w:qFormat/>
    <w:rsid w:val="006B4FAC"/>
    <w:pPr>
      <w:ind w:left="720"/>
      <w:contextualSpacing/>
    </w:pPr>
  </w:style>
  <w:style w:type="character" w:customStyle="1" w:styleId="Heading1Char">
    <w:name w:val="Heading 1 Char"/>
    <w:basedOn w:val="DefaultParagraphFont"/>
    <w:link w:val="Heading1"/>
    <w:uiPriority w:val="9"/>
    <w:rsid w:val="00C443E5"/>
    <w:rPr>
      <w:rFonts w:ascii="Arial" w:eastAsiaTheme="majorEastAsia" w:hAnsi="Arial" w:cstheme="majorBidi"/>
      <w:b/>
      <w:bCs/>
      <w:sz w:val="24"/>
      <w:szCs w:val="28"/>
      <w:lang w:val="en-GB"/>
    </w:rPr>
  </w:style>
  <w:style w:type="character" w:customStyle="1" w:styleId="Heading4Char">
    <w:name w:val="Heading 4 Char"/>
    <w:basedOn w:val="DefaultParagraphFont"/>
    <w:link w:val="Heading4"/>
    <w:uiPriority w:val="9"/>
    <w:semiHidden/>
    <w:rsid w:val="009E4A35"/>
    <w:rPr>
      <w:rFonts w:asciiTheme="majorHAnsi" w:eastAsiaTheme="majorEastAsia" w:hAnsiTheme="majorHAnsi" w:cstheme="majorBidi"/>
      <w:b/>
      <w:bCs/>
      <w:i/>
      <w:iCs/>
      <w:color w:val="4F81BD" w:themeColor="accent1"/>
      <w:sz w:val="24"/>
      <w:lang w:val="en-GB"/>
    </w:rPr>
  </w:style>
  <w:style w:type="character" w:customStyle="1" w:styleId="Heading5Char">
    <w:name w:val="Heading 5 Char"/>
    <w:basedOn w:val="DefaultParagraphFont"/>
    <w:link w:val="Heading5"/>
    <w:uiPriority w:val="9"/>
    <w:semiHidden/>
    <w:rsid w:val="009E4A35"/>
    <w:rPr>
      <w:rFonts w:asciiTheme="majorHAnsi" w:eastAsiaTheme="majorEastAsia" w:hAnsiTheme="majorHAnsi" w:cstheme="majorBidi"/>
      <w:color w:val="243F60" w:themeColor="accent1" w:themeShade="7F"/>
      <w:sz w:val="24"/>
      <w:lang w:val="en-GB"/>
    </w:rPr>
  </w:style>
  <w:style w:type="character" w:customStyle="1" w:styleId="Heading6Char">
    <w:name w:val="Heading 6 Char"/>
    <w:basedOn w:val="DefaultParagraphFont"/>
    <w:link w:val="Heading6"/>
    <w:uiPriority w:val="9"/>
    <w:semiHidden/>
    <w:rsid w:val="009E4A35"/>
    <w:rPr>
      <w:rFonts w:asciiTheme="majorHAnsi" w:eastAsiaTheme="majorEastAsia" w:hAnsiTheme="majorHAnsi" w:cstheme="majorBidi"/>
      <w:i/>
      <w:iCs/>
      <w:color w:val="243F60" w:themeColor="accent1" w:themeShade="7F"/>
      <w:sz w:val="24"/>
      <w:lang w:val="en-GB"/>
    </w:rPr>
  </w:style>
  <w:style w:type="character" w:customStyle="1" w:styleId="Heading7Char">
    <w:name w:val="Heading 7 Char"/>
    <w:basedOn w:val="DefaultParagraphFont"/>
    <w:link w:val="Heading7"/>
    <w:uiPriority w:val="9"/>
    <w:semiHidden/>
    <w:rsid w:val="009E4A35"/>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9E4A3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9E4A35"/>
    <w:rPr>
      <w:rFonts w:asciiTheme="majorHAnsi" w:eastAsiaTheme="majorEastAsia" w:hAnsiTheme="majorHAnsi" w:cstheme="majorBidi"/>
      <w:i/>
      <w:iCs/>
      <w:color w:val="404040" w:themeColor="text1" w:themeTint="BF"/>
      <w:sz w:val="20"/>
      <w:szCs w:val="20"/>
      <w:lang w:val="en-GB"/>
    </w:rPr>
  </w:style>
  <w:style w:type="paragraph" w:styleId="TOC1">
    <w:name w:val="toc 1"/>
    <w:basedOn w:val="Normal"/>
    <w:next w:val="Normal"/>
    <w:autoRedefine/>
    <w:uiPriority w:val="39"/>
    <w:unhideWhenUsed/>
    <w:rsid w:val="009E4A35"/>
    <w:pPr>
      <w:spacing w:before="360" w:after="0"/>
      <w:jc w:val="left"/>
    </w:pPr>
    <w:rPr>
      <w:rFonts w:asciiTheme="majorHAnsi" w:hAnsiTheme="majorHAnsi"/>
      <w:b/>
      <w:bCs/>
      <w:caps/>
      <w:szCs w:val="24"/>
    </w:rPr>
  </w:style>
  <w:style w:type="paragraph" w:styleId="TOC2">
    <w:name w:val="toc 2"/>
    <w:basedOn w:val="Normal"/>
    <w:next w:val="Normal"/>
    <w:autoRedefine/>
    <w:uiPriority w:val="39"/>
    <w:unhideWhenUsed/>
    <w:rsid w:val="009E4A35"/>
    <w:pPr>
      <w:spacing w:before="240" w:after="0"/>
      <w:jc w:val="left"/>
    </w:pPr>
    <w:rPr>
      <w:rFonts w:asciiTheme="minorHAnsi" w:hAnsiTheme="minorHAnsi"/>
      <w:b/>
      <w:bCs/>
      <w:sz w:val="20"/>
      <w:szCs w:val="20"/>
    </w:rPr>
  </w:style>
  <w:style w:type="paragraph" w:styleId="TOC3">
    <w:name w:val="toc 3"/>
    <w:basedOn w:val="Normal"/>
    <w:next w:val="Normal"/>
    <w:autoRedefine/>
    <w:uiPriority w:val="39"/>
    <w:unhideWhenUsed/>
    <w:rsid w:val="009E4A35"/>
    <w:pPr>
      <w:spacing w:after="0"/>
      <w:ind w:left="240"/>
      <w:jc w:val="left"/>
    </w:pPr>
    <w:rPr>
      <w:rFonts w:asciiTheme="minorHAnsi" w:hAnsiTheme="minorHAnsi"/>
      <w:sz w:val="20"/>
      <w:szCs w:val="20"/>
    </w:rPr>
  </w:style>
  <w:style w:type="character" w:styleId="Hyperlink">
    <w:name w:val="Hyperlink"/>
    <w:basedOn w:val="DefaultParagraphFont"/>
    <w:uiPriority w:val="99"/>
    <w:unhideWhenUsed/>
    <w:rsid w:val="009E4A35"/>
    <w:rPr>
      <w:color w:val="0000FF" w:themeColor="hyperlink"/>
      <w:u w:val="single"/>
    </w:rPr>
  </w:style>
  <w:style w:type="paragraph" w:styleId="TOC4">
    <w:name w:val="toc 4"/>
    <w:basedOn w:val="Normal"/>
    <w:next w:val="Normal"/>
    <w:autoRedefine/>
    <w:uiPriority w:val="39"/>
    <w:unhideWhenUsed/>
    <w:rsid w:val="009E4A35"/>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9E4A35"/>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9E4A35"/>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9E4A35"/>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9E4A35"/>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9E4A35"/>
    <w:pPr>
      <w:spacing w:after="0"/>
      <w:ind w:left="1680"/>
      <w:jc w:val="left"/>
    </w:pPr>
    <w:rPr>
      <w:rFonts w:asciiTheme="minorHAnsi" w:hAnsiTheme="minorHAnsi"/>
      <w:sz w:val="20"/>
      <w:szCs w:val="20"/>
    </w:rPr>
  </w:style>
  <w:style w:type="paragraph" w:styleId="Header">
    <w:name w:val="header"/>
    <w:basedOn w:val="Normal"/>
    <w:link w:val="HeaderChar"/>
    <w:uiPriority w:val="99"/>
    <w:unhideWhenUsed/>
    <w:rsid w:val="00C74669"/>
    <w:pPr>
      <w:tabs>
        <w:tab w:val="center" w:pos="4252"/>
        <w:tab w:val="right" w:pos="8504"/>
      </w:tabs>
      <w:spacing w:after="0" w:line="240" w:lineRule="auto"/>
    </w:pPr>
  </w:style>
  <w:style w:type="character" w:customStyle="1" w:styleId="HeaderChar">
    <w:name w:val="Header Char"/>
    <w:basedOn w:val="DefaultParagraphFont"/>
    <w:link w:val="Header"/>
    <w:uiPriority w:val="99"/>
    <w:rsid w:val="00C74669"/>
    <w:rPr>
      <w:rFonts w:ascii="Arial" w:hAnsi="Arial"/>
      <w:sz w:val="24"/>
      <w:lang w:val="en-GB"/>
    </w:rPr>
  </w:style>
  <w:style w:type="paragraph" w:styleId="Caption">
    <w:name w:val="caption"/>
    <w:basedOn w:val="Normal"/>
    <w:next w:val="Normal"/>
    <w:uiPriority w:val="35"/>
    <w:unhideWhenUsed/>
    <w:qFormat/>
    <w:rsid w:val="007D7A60"/>
    <w:pPr>
      <w:spacing w:after="200"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63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630C87"/>
    <w:rPr>
      <w:rFonts w:ascii="Courier New" w:eastAsia="Times New Roman" w:hAnsi="Courier New" w:cs="Courier New"/>
      <w:sz w:val="20"/>
      <w:szCs w:val="20"/>
      <w:lang w:eastAsia="es-ES"/>
    </w:rPr>
  </w:style>
  <w:style w:type="paragraph" w:styleId="EndnoteText">
    <w:name w:val="endnote text"/>
    <w:basedOn w:val="Normal"/>
    <w:link w:val="EndnoteTextChar"/>
    <w:uiPriority w:val="99"/>
    <w:semiHidden/>
    <w:unhideWhenUsed/>
    <w:rsid w:val="005955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5565"/>
    <w:rPr>
      <w:rFonts w:ascii="Arial" w:hAnsi="Arial"/>
      <w:sz w:val="20"/>
      <w:szCs w:val="20"/>
      <w:lang w:val="en-GB"/>
    </w:rPr>
  </w:style>
  <w:style w:type="character" w:styleId="EndnoteReference">
    <w:name w:val="endnote reference"/>
    <w:basedOn w:val="DefaultParagraphFont"/>
    <w:uiPriority w:val="99"/>
    <w:semiHidden/>
    <w:unhideWhenUsed/>
    <w:rsid w:val="005955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98875">
      <w:bodyDiv w:val="1"/>
      <w:marLeft w:val="0"/>
      <w:marRight w:val="0"/>
      <w:marTop w:val="0"/>
      <w:marBottom w:val="0"/>
      <w:divBdr>
        <w:top w:val="none" w:sz="0" w:space="0" w:color="auto"/>
        <w:left w:val="none" w:sz="0" w:space="0" w:color="auto"/>
        <w:bottom w:val="none" w:sz="0" w:space="0" w:color="auto"/>
        <w:right w:val="none" w:sz="0" w:space="0" w:color="auto"/>
      </w:divBdr>
    </w:div>
    <w:div w:id="239825809">
      <w:bodyDiv w:val="1"/>
      <w:marLeft w:val="0"/>
      <w:marRight w:val="0"/>
      <w:marTop w:val="0"/>
      <w:marBottom w:val="0"/>
      <w:divBdr>
        <w:top w:val="none" w:sz="0" w:space="0" w:color="auto"/>
        <w:left w:val="none" w:sz="0" w:space="0" w:color="auto"/>
        <w:bottom w:val="none" w:sz="0" w:space="0" w:color="auto"/>
        <w:right w:val="none" w:sz="0" w:space="0" w:color="auto"/>
      </w:divBdr>
    </w:div>
    <w:div w:id="435256239">
      <w:bodyDiv w:val="1"/>
      <w:marLeft w:val="0"/>
      <w:marRight w:val="0"/>
      <w:marTop w:val="0"/>
      <w:marBottom w:val="0"/>
      <w:divBdr>
        <w:top w:val="none" w:sz="0" w:space="0" w:color="auto"/>
        <w:left w:val="none" w:sz="0" w:space="0" w:color="auto"/>
        <w:bottom w:val="none" w:sz="0" w:space="0" w:color="auto"/>
        <w:right w:val="none" w:sz="0" w:space="0" w:color="auto"/>
      </w:divBdr>
    </w:div>
    <w:div w:id="699823680">
      <w:bodyDiv w:val="1"/>
      <w:marLeft w:val="0"/>
      <w:marRight w:val="0"/>
      <w:marTop w:val="0"/>
      <w:marBottom w:val="0"/>
      <w:divBdr>
        <w:top w:val="none" w:sz="0" w:space="0" w:color="auto"/>
        <w:left w:val="none" w:sz="0" w:space="0" w:color="auto"/>
        <w:bottom w:val="none" w:sz="0" w:space="0" w:color="auto"/>
        <w:right w:val="none" w:sz="0" w:space="0" w:color="auto"/>
      </w:divBdr>
    </w:div>
    <w:div w:id="757796379">
      <w:bodyDiv w:val="1"/>
      <w:marLeft w:val="0"/>
      <w:marRight w:val="0"/>
      <w:marTop w:val="0"/>
      <w:marBottom w:val="0"/>
      <w:divBdr>
        <w:top w:val="none" w:sz="0" w:space="0" w:color="auto"/>
        <w:left w:val="none" w:sz="0" w:space="0" w:color="auto"/>
        <w:bottom w:val="none" w:sz="0" w:space="0" w:color="auto"/>
        <w:right w:val="none" w:sz="0" w:space="0" w:color="auto"/>
      </w:divBdr>
    </w:div>
    <w:div w:id="1000430870">
      <w:bodyDiv w:val="1"/>
      <w:marLeft w:val="0"/>
      <w:marRight w:val="0"/>
      <w:marTop w:val="0"/>
      <w:marBottom w:val="0"/>
      <w:divBdr>
        <w:top w:val="none" w:sz="0" w:space="0" w:color="auto"/>
        <w:left w:val="none" w:sz="0" w:space="0" w:color="auto"/>
        <w:bottom w:val="none" w:sz="0" w:space="0" w:color="auto"/>
        <w:right w:val="none" w:sz="0" w:space="0" w:color="auto"/>
      </w:divBdr>
    </w:div>
    <w:div w:id="1588267789">
      <w:bodyDiv w:val="1"/>
      <w:marLeft w:val="0"/>
      <w:marRight w:val="0"/>
      <w:marTop w:val="0"/>
      <w:marBottom w:val="0"/>
      <w:divBdr>
        <w:top w:val="none" w:sz="0" w:space="0" w:color="auto"/>
        <w:left w:val="none" w:sz="0" w:space="0" w:color="auto"/>
        <w:bottom w:val="none" w:sz="0" w:space="0" w:color="auto"/>
        <w:right w:val="none" w:sz="0" w:space="0" w:color="auto"/>
      </w:divBdr>
      <w:divsChild>
        <w:div w:id="1724940081">
          <w:marLeft w:val="0"/>
          <w:marRight w:val="0"/>
          <w:marTop w:val="0"/>
          <w:marBottom w:val="0"/>
          <w:divBdr>
            <w:top w:val="none" w:sz="0" w:space="0" w:color="auto"/>
            <w:left w:val="none" w:sz="0" w:space="0" w:color="auto"/>
            <w:bottom w:val="none" w:sz="0" w:space="0" w:color="auto"/>
            <w:right w:val="none" w:sz="0" w:space="0" w:color="auto"/>
          </w:divBdr>
          <w:divsChild>
            <w:div w:id="787357617">
              <w:marLeft w:val="0"/>
              <w:marRight w:val="0"/>
              <w:marTop w:val="0"/>
              <w:marBottom w:val="0"/>
              <w:divBdr>
                <w:top w:val="none" w:sz="0" w:space="0" w:color="auto"/>
                <w:left w:val="none" w:sz="0" w:space="0" w:color="auto"/>
                <w:bottom w:val="none" w:sz="0" w:space="0" w:color="auto"/>
                <w:right w:val="none" w:sz="0" w:space="0" w:color="auto"/>
              </w:divBdr>
              <w:divsChild>
                <w:div w:id="1216233391">
                  <w:marLeft w:val="0"/>
                  <w:marRight w:val="0"/>
                  <w:marTop w:val="0"/>
                  <w:marBottom w:val="0"/>
                  <w:divBdr>
                    <w:top w:val="none" w:sz="0" w:space="0" w:color="auto"/>
                    <w:left w:val="none" w:sz="0" w:space="0" w:color="auto"/>
                    <w:bottom w:val="none" w:sz="0" w:space="0" w:color="auto"/>
                    <w:right w:val="none" w:sz="0" w:space="0" w:color="auto"/>
                  </w:divBdr>
                  <w:divsChild>
                    <w:div w:id="511382836">
                      <w:marLeft w:val="0"/>
                      <w:marRight w:val="0"/>
                      <w:marTop w:val="0"/>
                      <w:marBottom w:val="0"/>
                      <w:divBdr>
                        <w:top w:val="none" w:sz="0" w:space="0" w:color="auto"/>
                        <w:left w:val="none" w:sz="0" w:space="0" w:color="auto"/>
                        <w:bottom w:val="none" w:sz="0" w:space="0" w:color="auto"/>
                        <w:right w:val="none" w:sz="0" w:space="0" w:color="auto"/>
                      </w:divBdr>
                      <w:divsChild>
                        <w:div w:id="1705016439">
                          <w:marLeft w:val="0"/>
                          <w:marRight w:val="0"/>
                          <w:marTop w:val="0"/>
                          <w:marBottom w:val="0"/>
                          <w:divBdr>
                            <w:top w:val="none" w:sz="0" w:space="0" w:color="auto"/>
                            <w:left w:val="none" w:sz="0" w:space="0" w:color="auto"/>
                            <w:bottom w:val="none" w:sz="0" w:space="0" w:color="auto"/>
                            <w:right w:val="none" w:sz="0" w:space="0" w:color="auto"/>
                          </w:divBdr>
                          <w:divsChild>
                            <w:div w:id="71005183">
                              <w:marLeft w:val="0"/>
                              <w:marRight w:val="0"/>
                              <w:marTop w:val="0"/>
                              <w:marBottom w:val="0"/>
                              <w:divBdr>
                                <w:top w:val="none" w:sz="0" w:space="0" w:color="auto"/>
                                <w:left w:val="none" w:sz="0" w:space="0" w:color="auto"/>
                                <w:bottom w:val="none" w:sz="0" w:space="0" w:color="auto"/>
                                <w:right w:val="none" w:sz="0" w:space="0" w:color="auto"/>
                              </w:divBdr>
                              <w:divsChild>
                                <w:div w:id="2006516531">
                                  <w:marLeft w:val="0"/>
                                  <w:marRight w:val="0"/>
                                  <w:marTop w:val="0"/>
                                  <w:marBottom w:val="0"/>
                                  <w:divBdr>
                                    <w:top w:val="none" w:sz="0" w:space="0" w:color="auto"/>
                                    <w:left w:val="none" w:sz="0" w:space="0" w:color="auto"/>
                                    <w:bottom w:val="none" w:sz="0" w:space="0" w:color="auto"/>
                                    <w:right w:val="none" w:sz="0" w:space="0" w:color="auto"/>
                                  </w:divBdr>
                                  <w:divsChild>
                                    <w:div w:id="410855998">
                                      <w:marLeft w:val="0"/>
                                      <w:marRight w:val="0"/>
                                      <w:marTop w:val="0"/>
                                      <w:marBottom w:val="0"/>
                                      <w:divBdr>
                                        <w:top w:val="none" w:sz="0" w:space="0" w:color="auto"/>
                                        <w:left w:val="none" w:sz="0" w:space="0" w:color="auto"/>
                                        <w:bottom w:val="none" w:sz="0" w:space="0" w:color="auto"/>
                                        <w:right w:val="none" w:sz="0" w:space="0" w:color="auto"/>
                                      </w:divBdr>
                                      <w:divsChild>
                                        <w:div w:id="865217089">
                                          <w:marLeft w:val="0"/>
                                          <w:marRight w:val="0"/>
                                          <w:marTop w:val="0"/>
                                          <w:marBottom w:val="0"/>
                                          <w:divBdr>
                                            <w:top w:val="none" w:sz="0" w:space="0" w:color="auto"/>
                                            <w:left w:val="none" w:sz="0" w:space="0" w:color="auto"/>
                                            <w:bottom w:val="none" w:sz="0" w:space="0" w:color="auto"/>
                                            <w:right w:val="none" w:sz="0" w:space="0" w:color="auto"/>
                                          </w:divBdr>
                                          <w:divsChild>
                                            <w:div w:id="1194727183">
                                              <w:marLeft w:val="0"/>
                                              <w:marRight w:val="0"/>
                                              <w:marTop w:val="0"/>
                                              <w:marBottom w:val="0"/>
                                              <w:divBdr>
                                                <w:top w:val="none" w:sz="0" w:space="0" w:color="auto"/>
                                                <w:left w:val="none" w:sz="0" w:space="0" w:color="auto"/>
                                                <w:bottom w:val="none" w:sz="0" w:space="0" w:color="auto"/>
                                                <w:right w:val="none" w:sz="0" w:space="0" w:color="auto"/>
                                              </w:divBdr>
                                              <w:divsChild>
                                                <w:div w:id="1019510125">
                                                  <w:marLeft w:val="0"/>
                                                  <w:marRight w:val="0"/>
                                                  <w:marTop w:val="0"/>
                                                  <w:marBottom w:val="0"/>
                                                  <w:divBdr>
                                                    <w:top w:val="none" w:sz="0" w:space="0" w:color="auto"/>
                                                    <w:left w:val="none" w:sz="0" w:space="0" w:color="auto"/>
                                                    <w:bottom w:val="none" w:sz="0" w:space="0" w:color="auto"/>
                                                    <w:right w:val="none" w:sz="0" w:space="0" w:color="auto"/>
                                                  </w:divBdr>
                                                  <w:divsChild>
                                                    <w:div w:id="744034515">
                                                      <w:marLeft w:val="0"/>
                                                      <w:marRight w:val="0"/>
                                                      <w:marTop w:val="0"/>
                                                      <w:marBottom w:val="0"/>
                                                      <w:divBdr>
                                                        <w:top w:val="none" w:sz="0" w:space="0" w:color="auto"/>
                                                        <w:left w:val="none" w:sz="0" w:space="0" w:color="auto"/>
                                                        <w:bottom w:val="none" w:sz="0" w:space="0" w:color="auto"/>
                                                        <w:right w:val="none" w:sz="0" w:space="0" w:color="auto"/>
                                                      </w:divBdr>
                                                      <w:divsChild>
                                                        <w:div w:id="1713798097">
                                                          <w:marLeft w:val="0"/>
                                                          <w:marRight w:val="0"/>
                                                          <w:marTop w:val="0"/>
                                                          <w:marBottom w:val="0"/>
                                                          <w:divBdr>
                                                            <w:top w:val="none" w:sz="0" w:space="0" w:color="auto"/>
                                                            <w:left w:val="none" w:sz="0" w:space="0" w:color="auto"/>
                                                            <w:bottom w:val="none" w:sz="0" w:space="0" w:color="auto"/>
                                                            <w:right w:val="none" w:sz="0" w:space="0" w:color="auto"/>
                                                          </w:divBdr>
                                                          <w:divsChild>
                                                            <w:div w:id="757753615">
                                                              <w:marLeft w:val="0"/>
                                                              <w:marRight w:val="0"/>
                                                              <w:marTop w:val="0"/>
                                                              <w:marBottom w:val="0"/>
                                                              <w:divBdr>
                                                                <w:top w:val="none" w:sz="0" w:space="0" w:color="auto"/>
                                                                <w:left w:val="none" w:sz="0" w:space="0" w:color="auto"/>
                                                                <w:bottom w:val="none" w:sz="0" w:space="0" w:color="auto"/>
                                                                <w:right w:val="none" w:sz="0" w:space="0" w:color="auto"/>
                                                              </w:divBdr>
                                                              <w:divsChild>
                                                                <w:div w:id="513884443">
                                                                  <w:marLeft w:val="0"/>
                                                                  <w:marRight w:val="0"/>
                                                                  <w:marTop w:val="0"/>
                                                                  <w:marBottom w:val="0"/>
                                                                  <w:divBdr>
                                                                    <w:top w:val="none" w:sz="0" w:space="0" w:color="auto"/>
                                                                    <w:left w:val="none" w:sz="0" w:space="0" w:color="auto"/>
                                                                    <w:bottom w:val="none" w:sz="0" w:space="0" w:color="auto"/>
                                                                    <w:right w:val="none" w:sz="0" w:space="0" w:color="auto"/>
                                                                  </w:divBdr>
                                                                  <w:divsChild>
                                                                    <w:div w:id="2067758511">
                                                                      <w:marLeft w:val="0"/>
                                                                      <w:marRight w:val="0"/>
                                                                      <w:marTop w:val="0"/>
                                                                      <w:marBottom w:val="0"/>
                                                                      <w:divBdr>
                                                                        <w:top w:val="none" w:sz="0" w:space="0" w:color="auto"/>
                                                                        <w:left w:val="none" w:sz="0" w:space="0" w:color="auto"/>
                                                                        <w:bottom w:val="none" w:sz="0" w:space="0" w:color="auto"/>
                                                                        <w:right w:val="none" w:sz="0" w:space="0" w:color="auto"/>
                                                                      </w:divBdr>
                                                                      <w:divsChild>
                                                                        <w:div w:id="645162274">
                                                                          <w:marLeft w:val="0"/>
                                                                          <w:marRight w:val="0"/>
                                                                          <w:marTop w:val="0"/>
                                                                          <w:marBottom w:val="0"/>
                                                                          <w:divBdr>
                                                                            <w:top w:val="none" w:sz="0" w:space="0" w:color="auto"/>
                                                                            <w:left w:val="none" w:sz="0" w:space="0" w:color="auto"/>
                                                                            <w:bottom w:val="none" w:sz="0" w:space="0" w:color="auto"/>
                                                                            <w:right w:val="none" w:sz="0" w:space="0" w:color="auto"/>
                                                                          </w:divBdr>
                                                                          <w:divsChild>
                                                                            <w:div w:id="2001350660">
                                                                              <w:marLeft w:val="0"/>
                                                                              <w:marRight w:val="0"/>
                                                                              <w:marTop w:val="0"/>
                                                                              <w:marBottom w:val="0"/>
                                                                              <w:divBdr>
                                                                                <w:top w:val="none" w:sz="0" w:space="0" w:color="auto"/>
                                                                                <w:left w:val="none" w:sz="0" w:space="0" w:color="auto"/>
                                                                                <w:bottom w:val="none" w:sz="0" w:space="0" w:color="auto"/>
                                                                                <w:right w:val="none" w:sz="0" w:space="0" w:color="auto"/>
                                                                              </w:divBdr>
                                                                              <w:divsChild>
                                                                                <w:div w:id="1461339132">
                                                                                  <w:marLeft w:val="0"/>
                                                                                  <w:marRight w:val="0"/>
                                                                                  <w:marTop w:val="0"/>
                                                                                  <w:marBottom w:val="0"/>
                                                                                  <w:divBdr>
                                                                                    <w:top w:val="none" w:sz="0" w:space="0" w:color="auto"/>
                                                                                    <w:left w:val="none" w:sz="0" w:space="0" w:color="auto"/>
                                                                                    <w:bottom w:val="none" w:sz="0" w:space="0" w:color="auto"/>
                                                                                    <w:right w:val="none" w:sz="0" w:space="0" w:color="auto"/>
                                                                                  </w:divBdr>
                                                                                  <w:divsChild>
                                                                                    <w:div w:id="985861879">
                                                                                      <w:marLeft w:val="0"/>
                                                                                      <w:marRight w:val="0"/>
                                                                                      <w:marTop w:val="0"/>
                                                                                      <w:marBottom w:val="0"/>
                                                                                      <w:divBdr>
                                                                                        <w:top w:val="none" w:sz="0" w:space="0" w:color="auto"/>
                                                                                        <w:left w:val="none" w:sz="0" w:space="0" w:color="auto"/>
                                                                                        <w:bottom w:val="none" w:sz="0" w:space="0" w:color="auto"/>
                                                                                        <w:right w:val="none" w:sz="0" w:space="0" w:color="auto"/>
                                                                                      </w:divBdr>
                                                                                      <w:divsChild>
                                                                                        <w:div w:id="458567662">
                                                                                          <w:marLeft w:val="0"/>
                                                                                          <w:marRight w:val="0"/>
                                                                                          <w:marTop w:val="0"/>
                                                                                          <w:marBottom w:val="0"/>
                                                                                          <w:divBdr>
                                                                                            <w:top w:val="none" w:sz="0" w:space="0" w:color="auto"/>
                                                                                            <w:left w:val="none" w:sz="0" w:space="0" w:color="auto"/>
                                                                                            <w:bottom w:val="none" w:sz="0" w:space="0" w:color="auto"/>
                                                                                            <w:right w:val="none" w:sz="0" w:space="0" w:color="auto"/>
                                                                                          </w:divBdr>
                                                                                          <w:divsChild>
                                                                                            <w:div w:id="1516765632">
                                                                                              <w:marLeft w:val="0"/>
                                                                                              <w:marRight w:val="0"/>
                                                                                              <w:marTop w:val="0"/>
                                                                                              <w:marBottom w:val="0"/>
                                                                                              <w:divBdr>
                                                                                                <w:top w:val="none" w:sz="0" w:space="0" w:color="auto"/>
                                                                                                <w:left w:val="none" w:sz="0" w:space="0" w:color="auto"/>
                                                                                                <w:bottom w:val="none" w:sz="0" w:space="0" w:color="auto"/>
                                                                                                <w:right w:val="none" w:sz="0" w:space="0" w:color="auto"/>
                                                                                              </w:divBdr>
                                                                                              <w:divsChild>
                                                                                                <w:div w:id="1484928488">
                                                                                                  <w:marLeft w:val="0"/>
                                                                                                  <w:marRight w:val="0"/>
                                                                                                  <w:marTop w:val="0"/>
                                                                                                  <w:marBottom w:val="0"/>
                                                                                                  <w:divBdr>
                                                                                                    <w:top w:val="none" w:sz="0" w:space="0" w:color="auto"/>
                                                                                                    <w:left w:val="none" w:sz="0" w:space="0" w:color="auto"/>
                                                                                                    <w:bottom w:val="none" w:sz="0" w:space="0" w:color="auto"/>
                                                                                                    <w:right w:val="none" w:sz="0" w:space="0" w:color="auto"/>
                                                                                                  </w:divBdr>
                                                                                                  <w:divsChild>
                                                                                                    <w:div w:id="1924601990">
                                                                                                      <w:marLeft w:val="0"/>
                                                                                                      <w:marRight w:val="0"/>
                                                                                                      <w:marTop w:val="0"/>
                                                                                                      <w:marBottom w:val="0"/>
                                                                                                      <w:divBdr>
                                                                                                        <w:top w:val="none" w:sz="0" w:space="0" w:color="auto"/>
                                                                                                        <w:left w:val="none" w:sz="0" w:space="0" w:color="auto"/>
                                                                                                        <w:bottom w:val="none" w:sz="0" w:space="0" w:color="auto"/>
                                                                                                        <w:right w:val="none" w:sz="0" w:space="0" w:color="auto"/>
                                                                                                      </w:divBdr>
                                                                                                      <w:divsChild>
                                                                                                        <w:div w:id="1198008304">
                                                                                                          <w:marLeft w:val="0"/>
                                                                                                          <w:marRight w:val="0"/>
                                                                                                          <w:marTop w:val="0"/>
                                                                                                          <w:marBottom w:val="0"/>
                                                                                                          <w:divBdr>
                                                                                                            <w:top w:val="none" w:sz="0" w:space="0" w:color="auto"/>
                                                                                                            <w:left w:val="none" w:sz="0" w:space="0" w:color="auto"/>
                                                                                                            <w:bottom w:val="none" w:sz="0" w:space="0" w:color="auto"/>
                                                                                                            <w:right w:val="none" w:sz="0" w:space="0" w:color="auto"/>
                                                                                                          </w:divBdr>
                                                                                                          <w:divsChild>
                                                                                                            <w:div w:id="2137527989">
                                                                                                              <w:marLeft w:val="0"/>
                                                                                                              <w:marRight w:val="0"/>
                                                                                                              <w:marTop w:val="0"/>
                                                                                                              <w:marBottom w:val="0"/>
                                                                                                              <w:divBdr>
                                                                                                                <w:top w:val="none" w:sz="0" w:space="0" w:color="auto"/>
                                                                                                                <w:left w:val="none" w:sz="0" w:space="0" w:color="auto"/>
                                                                                                                <w:bottom w:val="none" w:sz="0" w:space="0" w:color="auto"/>
                                                                                                                <w:right w:val="none" w:sz="0" w:space="0" w:color="auto"/>
                                                                                                              </w:divBdr>
                                                                                                              <w:divsChild>
                                                                                                                <w:div w:id="648171387">
                                                                                                                  <w:marLeft w:val="0"/>
                                                                                                                  <w:marRight w:val="0"/>
                                                                                                                  <w:marTop w:val="0"/>
                                                                                                                  <w:marBottom w:val="0"/>
                                                                                                                  <w:divBdr>
                                                                                                                    <w:top w:val="none" w:sz="0" w:space="0" w:color="auto"/>
                                                                                                                    <w:left w:val="none" w:sz="0" w:space="0" w:color="auto"/>
                                                                                                                    <w:bottom w:val="none" w:sz="0" w:space="0" w:color="auto"/>
                                                                                                                    <w:right w:val="none" w:sz="0" w:space="0" w:color="auto"/>
                                                                                                                  </w:divBdr>
                                                                                                                  <w:divsChild>
                                                                                                                    <w:div w:id="192615659">
                                                                                                                      <w:marLeft w:val="0"/>
                                                                                                                      <w:marRight w:val="0"/>
                                                                                                                      <w:marTop w:val="0"/>
                                                                                                                      <w:marBottom w:val="0"/>
                                                                                                                      <w:divBdr>
                                                                                                                        <w:top w:val="none" w:sz="0" w:space="0" w:color="auto"/>
                                                                                                                        <w:left w:val="none" w:sz="0" w:space="0" w:color="auto"/>
                                                                                                                        <w:bottom w:val="none" w:sz="0" w:space="0" w:color="auto"/>
                                                                                                                        <w:right w:val="none" w:sz="0" w:space="0" w:color="auto"/>
                                                                                                                      </w:divBdr>
                                                                                                                      <w:divsChild>
                                                                                                                        <w:div w:id="1388526003">
                                                                                                                          <w:marLeft w:val="0"/>
                                                                                                                          <w:marRight w:val="0"/>
                                                                                                                          <w:marTop w:val="0"/>
                                                                                                                          <w:marBottom w:val="0"/>
                                                                                                                          <w:divBdr>
                                                                                                                            <w:top w:val="none" w:sz="0" w:space="0" w:color="auto"/>
                                                                                                                            <w:left w:val="none" w:sz="0" w:space="0" w:color="auto"/>
                                                                                                                            <w:bottom w:val="none" w:sz="0" w:space="0" w:color="auto"/>
                                                                                                                            <w:right w:val="none" w:sz="0" w:space="0" w:color="auto"/>
                                                                                                                          </w:divBdr>
                                                                                                                          <w:divsChild>
                                                                                                                            <w:div w:id="2040230245">
                                                                                                                              <w:marLeft w:val="0"/>
                                                                                                                              <w:marRight w:val="0"/>
                                                                                                                              <w:marTop w:val="0"/>
                                                                                                                              <w:marBottom w:val="0"/>
                                                                                                                              <w:divBdr>
                                                                                                                                <w:top w:val="none" w:sz="0" w:space="0" w:color="auto"/>
                                                                                                                                <w:left w:val="none" w:sz="0" w:space="0" w:color="auto"/>
                                                                                                                                <w:bottom w:val="none" w:sz="0" w:space="0" w:color="auto"/>
                                                                                                                                <w:right w:val="none" w:sz="0" w:space="0" w:color="auto"/>
                                                                                                                              </w:divBdr>
                                                                                                                              <w:divsChild>
                                                                                                                                <w:div w:id="1860240626">
                                                                                                                                  <w:marLeft w:val="0"/>
                                                                                                                                  <w:marRight w:val="0"/>
                                                                                                                                  <w:marTop w:val="0"/>
                                                                                                                                  <w:marBottom w:val="0"/>
                                                                                                                                  <w:divBdr>
                                                                                                                                    <w:top w:val="none" w:sz="0" w:space="0" w:color="auto"/>
                                                                                                                                    <w:left w:val="none" w:sz="0" w:space="0" w:color="auto"/>
                                                                                                                                    <w:bottom w:val="none" w:sz="0" w:space="0" w:color="auto"/>
                                                                                                                                    <w:right w:val="none" w:sz="0" w:space="0" w:color="auto"/>
                                                                                                                                  </w:divBdr>
                                                                                                                                  <w:divsChild>
                                                                                                                                    <w:div w:id="393816231">
                                                                                                                                      <w:marLeft w:val="0"/>
                                                                                                                                      <w:marRight w:val="0"/>
                                                                                                                                      <w:marTop w:val="0"/>
                                                                                                                                      <w:marBottom w:val="0"/>
                                                                                                                                      <w:divBdr>
                                                                                                                                        <w:top w:val="none" w:sz="0" w:space="0" w:color="auto"/>
                                                                                                                                        <w:left w:val="none" w:sz="0" w:space="0" w:color="auto"/>
                                                                                                                                        <w:bottom w:val="none" w:sz="0" w:space="0" w:color="auto"/>
                                                                                                                                        <w:right w:val="none" w:sz="0" w:space="0" w:color="auto"/>
                                                                                                                                      </w:divBdr>
                                                                                                                                      <w:divsChild>
                                                                                                                                        <w:div w:id="641543171">
                                                                                                                                          <w:marLeft w:val="0"/>
                                                                                                                                          <w:marRight w:val="0"/>
                                                                                                                                          <w:marTop w:val="0"/>
                                                                                                                                          <w:marBottom w:val="0"/>
                                                                                                                                          <w:divBdr>
                                                                                                                                            <w:top w:val="none" w:sz="0" w:space="0" w:color="auto"/>
                                                                                                                                            <w:left w:val="none" w:sz="0" w:space="0" w:color="auto"/>
                                                                                                                                            <w:bottom w:val="none" w:sz="0" w:space="0" w:color="auto"/>
                                                                                                                                            <w:right w:val="none" w:sz="0" w:space="0" w:color="auto"/>
                                                                                                                                          </w:divBdr>
                                                                                                                                          <w:divsChild>
                                                                                                                                            <w:div w:id="65883523">
                                                                                                                                              <w:marLeft w:val="0"/>
                                                                                                                                              <w:marRight w:val="0"/>
                                                                                                                                              <w:marTop w:val="0"/>
                                                                                                                                              <w:marBottom w:val="0"/>
                                                                                                                                              <w:divBdr>
                                                                                                                                                <w:top w:val="none" w:sz="0" w:space="0" w:color="auto"/>
                                                                                                                                                <w:left w:val="none" w:sz="0" w:space="0" w:color="auto"/>
                                                                                                                                                <w:bottom w:val="none" w:sz="0" w:space="0" w:color="auto"/>
                                                                                                                                                <w:right w:val="none" w:sz="0" w:space="0" w:color="auto"/>
                                                                                                                                              </w:divBdr>
                                                                                                                                              <w:divsChild>
                                                                                                                                                <w:div w:id="908930037">
                                                                                                                                                  <w:marLeft w:val="0"/>
                                                                                                                                                  <w:marRight w:val="0"/>
                                                                                                                                                  <w:marTop w:val="0"/>
                                                                                                                                                  <w:marBottom w:val="0"/>
                                                                                                                                                  <w:divBdr>
                                                                                                                                                    <w:top w:val="none" w:sz="0" w:space="0" w:color="auto"/>
                                                                                                                                                    <w:left w:val="none" w:sz="0" w:space="0" w:color="auto"/>
                                                                                                                                                    <w:bottom w:val="none" w:sz="0" w:space="0" w:color="auto"/>
                                                                                                                                                    <w:right w:val="none" w:sz="0" w:space="0" w:color="auto"/>
                                                                                                                                                  </w:divBdr>
                                                                                                                                                  <w:divsChild>
                                                                                                                                                    <w:div w:id="904342365">
                                                                                                                                                      <w:marLeft w:val="0"/>
                                                                                                                                                      <w:marRight w:val="0"/>
                                                                                                                                                      <w:marTop w:val="0"/>
                                                                                                                                                      <w:marBottom w:val="0"/>
                                                                                                                                                      <w:divBdr>
                                                                                                                                                        <w:top w:val="none" w:sz="0" w:space="0" w:color="auto"/>
                                                                                                                                                        <w:left w:val="none" w:sz="0" w:space="0" w:color="auto"/>
                                                                                                                                                        <w:bottom w:val="none" w:sz="0" w:space="0" w:color="auto"/>
                                                                                                                                                        <w:right w:val="none" w:sz="0" w:space="0" w:color="auto"/>
                                                                                                                                                      </w:divBdr>
                                                                                                                                                      <w:divsChild>
                                                                                                                                                        <w:div w:id="601304215">
                                                                                                                                                          <w:marLeft w:val="0"/>
                                                                                                                                                          <w:marRight w:val="0"/>
                                                                                                                                                          <w:marTop w:val="0"/>
                                                                                                                                                          <w:marBottom w:val="0"/>
                                                                                                                                                          <w:divBdr>
                                                                                                                                                            <w:top w:val="none" w:sz="0" w:space="0" w:color="auto"/>
                                                                                                                                                            <w:left w:val="none" w:sz="0" w:space="0" w:color="auto"/>
                                                                                                                                                            <w:bottom w:val="none" w:sz="0" w:space="0" w:color="auto"/>
                                                                                                                                                            <w:right w:val="none" w:sz="0" w:space="0" w:color="auto"/>
                                                                                                                                                          </w:divBdr>
                                                                                                                                                          <w:divsChild>
                                                                                                                                                            <w:div w:id="141583193">
                                                                                                                                                              <w:marLeft w:val="0"/>
                                                                                                                                                              <w:marRight w:val="0"/>
                                                                                                                                                              <w:marTop w:val="0"/>
                                                                                                                                                              <w:marBottom w:val="0"/>
                                                                                                                                                              <w:divBdr>
                                                                                                                                                                <w:top w:val="none" w:sz="0" w:space="0" w:color="auto"/>
                                                                                                                                                                <w:left w:val="none" w:sz="0" w:space="0" w:color="auto"/>
                                                                                                                                                                <w:bottom w:val="none" w:sz="0" w:space="0" w:color="auto"/>
                                                                                                                                                                <w:right w:val="none" w:sz="0" w:space="0" w:color="auto"/>
                                                                                                                                                              </w:divBdr>
                                                                                                                                                              <w:divsChild>
                                                                                                                                                                <w:div w:id="1267036225">
                                                                                                                                                                  <w:marLeft w:val="0"/>
                                                                                                                                                                  <w:marRight w:val="0"/>
                                                                                                                                                                  <w:marTop w:val="0"/>
                                                                                                                                                                  <w:marBottom w:val="0"/>
                                                                                                                                                                  <w:divBdr>
                                                                                                                                                                    <w:top w:val="none" w:sz="0" w:space="0" w:color="auto"/>
                                                                                                                                                                    <w:left w:val="none" w:sz="0" w:space="0" w:color="auto"/>
                                                                                                                                                                    <w:bottom w:val="none" w:sz="0" w:space="0" w:color="auto"/>
                                                                                                                                                                    <w:right w:val="none" w:sz="0" w:space="0" w:color="auto"/>
                                                                                                                                                                  </w:divBdr>
                                                                                                                                                                  <w:divsChild>
                                                                                                                                                                    <w:div w:id="1256404650">
                                                                                                                                                                      <w:marLeft w:val="0"/>
                                                                                                                                                                      <w:marRight w:val="0"/>
                                                                                                                                                                      <w:marTop w:val="0"/>
                                                                                                                                                                      <w:marBottom w:val="0"/>
                                                                                                                                                                      <w:divBdr>
                                                                                                                                                                        <w:top w:val="none" w:sz="0" w:space="0" w:color="auto"/>
                                                                                                                                                                        <w:left w:val="none" w:sz="0" w:space="0" w:color="auto"/>
                                                                                                                                                                        <w:bottom w:val="none" w:sz="0" w:space="0" w:color="auto"/>
                                                                                                                                                                        <w:right w:val="none" w:sz="0" w:space="0" w:color="auto"/>
                                                                                                                                                                      </w:divBdr>
                                                                                                                                                                      <w:divsChild>
                                                                                                                                                                        <w:div w:id="166990153">
                                                                                                                                                                          <w:marLeft w:val="0"/>
                                                                                                                                                                          <w:marRight w:val="0"/>
                                                                                                                                                                          <w:marTop w:val="0"/>
                                                                                                                                                                          <w:marBottom w:val="0"/>
                                                                                                                                                                          <w:divBdr>
                                                                                                                                                                            <w:top w:val="none" w:sz="0" w:space="0" w:color="auto"/>
                                                                                                                                                                            <w:left w:val="none" w:sz="0" w:space="0" w:color="auto"/>
                                                                                                                                                                            <w:bottom w:val="none" w:sz="0" w:space="0" w:color="auto"/>
                                                                                                                                                                            <w:right w:val="none" w:sz="0" w:space="0" w:color="auto"/>
                                                                                                                                                                          </w:divBdr>
                                                                                                                                                                          <w:divsChild>
                                                                                                                                                                            <w:div w:id="1341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9069">
      <w:bodyDiv w:val="1"/>
      <w:marLeft w:val="0"/>
      <w:marRight w:val="0"/>
      <w:marTop w:val="0"/>
      <w:marBottom w:val="0"/>
      <w:divBdr>
        <w:top w:val="none" w:sz="0" w:space="0" w:color="auto"/>
        <w:left w:val="none" w:sz="0" w:space="0" w:color="auto"/>
        <w:bottom w:val="none" w:sz="0" w:space="0" w:color="auto"/>
        <w:right w:val="none" w:sz="0" w:space="0" w:color="auto"/>
      </w:divBdr>
      <w:divsChild>
        <w:div w:id="1747725145">
          <w:marLeft w:val="0"/>
          <w:marRight w:val="0"/>
          <w:marTop w:val="0"/>
          <w:marBottom w:val="0"/>
          <w:divBdr>
            <w:top w:val="none" w:sz="0" w:space="0" w:color="auto"/>
            <w:left w:val="none" w:sz="0" w:space="0" w:color="auto"/>
            <w:bottom w:val="none" w:sz="0" w:space="0" w:color="auto"/>
            <w:right w:val="none" w:sz="0" w:space="0" w:color="auto"/>
          </w:divBdr>
          <w:divsChild>
            <w:div w:id="887179414">
              <w:marLeft w:val="0"/>
              <w:marRight w:val="0"/>
              <w:marTop w:val="0"/>
              <w:marBottom w:val="0"/>
              <w:divBdr>
                <w:top w:val="none" w:sz="0" w:space="0" w:color="auto"/>
                <w:left w:val="none" w:sz="0" w:space="0" w:color="auto"/>
                <w:bottom w:val="none" w:sz="0" w:space="0" w:color="auto"/>
                <w:right w:val="none" w:sz="0" w:space="0" w:color="auto"/>
              </w:divBdr>
              <w:divsChild>
                <w:div w:id="2067028195">
                  <w:marLeft w:val="0"/>
                  <w:marRight w:val="0"/>
                  <w:marTop w:val="0"/>
                  <w:marBottom w:val="0"/>
                  <w:divBdr>
                    <w:top w:val="none" w:sz="0" w:space="0" w:color="auto"/>
                    <w:left w:val="none" w:sz="0" w:space="0" w:color="auto"/>
                    <w:bottom w:val="none" w:sz="0" w:space="0" w:color="auto"/>
                    <w:right w:val="none" w:sz="0" w:space="0" w:color="auto"/>
                  </w:divBdr>
                  <w:divsChild>
                    <w:div w:id="849024775">
                      <w:marLeft w:val="0"/>
                      <w:marRight w:val="0"/>
                      <w:marTop w:val="0"/>
                      <w:marBottom w:val="0"/>
                      <w:divBdr>
                        <w:top w:val="none" w:sz="0" w:space="0" w:color="auto"/>
                        <w:left w:val="none" w:sz="0" w:space="0" w:color="auto"/>
                        <w:bottom w:val="none" w:sz="0" w:space="0" w:color="auto"/>
                        <w:right w:val="none" w:sz="0" w:space="0" w:color="auto"/>
                      </w:divBdr>
                      <w:divsChild>
                        <w:div w:id="1382752765">
                          <w:marLeft w:val="0"/>
                          <w:marRight w:val="0"/>
                          <w:marTop w:val="0"/>
                          <w:marBottom w:val="0"/>
                          <w:divBdr>
                            <w:top w:val="none" w:sz="0" w:space="0" w:color="auto"/>
                            <w:left w:val="none" w:sz="0" w:space="0" w:color="auto"/>
                            <w:bottom w:val="none" w:sz="0" w:space="0" w:color="auto"/>
                            <w:right w:val="none" w:sz="0" w:space="0" w:color="auto"/>
                          </w:divBdr>
                          <w:divsChild>
                            <w:div w:id="11031743">
                              <w:marLeft w:val="0"/>
                              <w:marRight w:val="0"/>
                              <w:marTop w:val="0"/>
                              <w:marBottom w:val="0"/>
                              <w:divBdr>
                                <w:top w:val="none" w:sz="0" w:space="0" w:color="auto"/>
                                <w:left w:val="none" w:sz="0" w:space="0" w:color="auto"/>
                                <w:bottom w:val="none" w:sz="0" w:space="0" w:color="auto"/>
                                <w:right w:val="none" w:sz="0" w:space="0" w:color="auto"/>
                              </w:divBdr>
                              <w:divsChild>
                                <w:div w:id="664892199">
                                  <w:marLeft w:val="0"/>
                                  <w:marRight w:val="0"/>
                                  <w:marTop w:val="0"/>
                                  <w:marBottom w:val="0"/>
                                  <w:divBdr>
                                    <w:top w:val="none" w:sz="0" w:space="0" w:color="auto"/>
                                    <w:left w:val="none" w:sz="0" w:space="0" w:color="auto"/>
                                    <w:bottom w:val="none" w:sz="0" w:space="0" w:color="auto"/>
                                    <w:right w:val="none" w:sz="0" w:space="0" w:color="auto"/>
                                  </w:divBdr>
                                  <w:divsChild>
                                    <w:div w:id="588198182">
                                      <w:marLeft w:val="0"/>
                                      <w:marRight w:val="0"/>
                                      <w:marTop w:val="0"/>
                                      <w:marBottom w:val="0"/>
                                      <w:divBdr>
                                        <w:top w:val="none" w:sz="0" w:space="0" w:color="auto"/>
                                        <w:left w:val="none" w:sz="0" w:space="0" w:color="auto"/>
                                        <w:bottom w:val="none" w:sz="0" w:space="0" w:color="auto"/>
                                        <w:right w:val="none" w:sz="0" w:space="0" w:color="auto"/>
                                      </w:divBdr>
                                      <w:divsChild>
                                        <w:div w:id="1974480734">
                                          <w:marLeft w:val="0"/>
                                          <w:marRight w:val="0"/>
                                          <w:marTop w:val="0"/>
                                          <w:marBottom w:val="0"/>
                                          <w:divBdr>
                                            <w:top w:val="none" w:sz="0" w:space="0" w:color="auto"/>
                                            <w:left w:val="none" w:sz="0" w:space="0" w:color="auto"/>
                                            <w:bottom w:val="none" w:sz="0" w:space="0" w:color="auto"/>
                                            <w:right w:val="none" w:sz="0" w:space="0" w:color="auto"/>
                                          </w:divBdr>
                                          <w:divsChild>
                                            <w:div w:id="261229540">
                                              <w:marLeft w:val="0"/>
                                              <w:marRight w:val="0"/>
                                              <w:marTop w:val="0"/>
                                              <w:marBottom w:val="0"/>
                                              <w:divBdr>
                                                <w:top w:val="none" w:sz="0" w:space="0" w:color="auto"/>
                                                <w:left w:val="none" w:sz="0" w:space="0" w:color="auto"/>
                                                <w:bottom w:val="none" w:sz="0" w:space="0" w:color="auto"/>
                                                <w:right w:val="none" w:sz="0" w:space="0" w:color="auto"/>
                                              </w:divBdr>
                                              <w:divsChild>
                                                <w:div w:id="817067845">
                                                  <w:marLeft w:val="0"/>
                                                  <w:marRight w:val="0"/>
                                                  <w:marTop w:val="0"/>
                                                  <w:marBottom w:val="0"/>
                                                  <w:divBdr>
                                                    <w:top w:val="none" w:sz="0" w:space="0" w:color="auto"/>
                                                    <w:left w:val="none" w:sz="0" w:space="0" w:color="auto"/>
                                                    <w:bottom w:val="none" w:sz="0" w:space="0" w:color="auto"/>
                                                    <w:right w:val="none" w:sz="0" w:space="0" w:color="auto"/>
                                                  </w:divBdr>
                                                  <w:divsChild>
                                                    <w:div w:id="75639891">
                                                      <w:marLeft w:val="0"/>
                                                      <w:marRight w:val="0"/>
                                                      <w:marTop w:val="0"/>
                                                      <w:marBottom w:val="0"/>
                                                      <w:divBdr>
                                                        <w:top w:val="none" w:sz="0" w:space="0" w:color="auto"/>
                                                        <w:left w:val="none" w:sz="0" w:space="0" w:color="auto"/>
                                                        <w:bottom w:val="none" w:sz="0" w:space="0" w:color="auto"/>
                                                        <w:right w:val="none" w:sz="0" w:space="0" w:color="auto"/>
                                                      </w:divBdr>
                                                      <w:divsChild>
                                                        <w:div w:id="349374783">
                                                          <w:marLeft w:val="0"/>
                                                          <w:marRight w:val="0"/>
                                                          <w:marTop w:val="0"/>
                                                          <w:marBottom w:val="0"/>
                                                          <w:divBdr>
                                                            <w:top w:val="none" w:sz="0" w:space="0" w:color="auto"/>
                                                            <w:left w:val="none" w:sz="0" w:space="0" w:color="auto"/>
                                                            <w:bottom w:val="none" w:sz="0" w:space="0" w:color="auto"/>
                                                            <w:right w:val="none" w:sz="0" w:space="0" w:color="auto"/>
                                                          </w:divBdr>
                                                          <w:divsChild>
                                                            <w:div w:id="1674601056">
                                                              <w:marLeft w:val="0"/>
                                                              <w:marRight w:val="0"/>
                                                              <w:marTop w:val="0"/>
                                                              <w:marBottom w:val="0"/>
                                                              <w:divBdr>
                                                                <w:top w:val="none" w:sz="0" w:space="0" w:color="auto"/>
                                                                <w:left w:val="none" w:sz="0" w:space="0" w:color="auto"/>
                                                                <w:bottom w:val="none" w:sz="0" w:space="0" w:color="auto"/>
                                                                <w:right w:val="none" w:sz="0" w:space="0" w:color="auto"/>
                                                              </w:divBdr>
                                                              <w:divsChild>
                                                                <w:div w:id="1906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571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62796893917032"/>
          <c:y val="5.0052137643378534E-2"/>
          <c:w val="0.85204106155375559"/>
          <c:h val="0.79624410292764847"/>
        </c:manualLayout>
      </c:layout>
      <c:barChart>
        <c:barDir val="col"/>
        <c:grouping val="clustered"/>
        <c:varyColors val="0"/>
        <c:ser>
          <c:idx val="0"/>
          <c:order val="0"/>
          <c:tx>
            <c:strRef>
              <c:f>Sheet1!$B$1</c:f>
              <c:strCache>
                <c:ptCount val="1"/>
                <c:pt idx="0">
                  <c:v>1</c:v>
                </c:pt>
              </c:strCache>
            </c:strRef>
          </c:tx>
          <c:spPr>
            <a:solidFill>
              <a:schemeClr val="accent1"/>
            </a:solidFill>
            <a:ln>
              <a:noFill/>
            </a:ln>
            <a:effectLst/>
          </c:spPr>
          <c:invertIfNegative val="0"/>
          <c:cat>
            <c:strRef>
              <c:f>Sheet1!$A$2:$A$3</c:f>
              <c:strCache>
                <c:ptCount val="2"/>
                <c:pt idx="0">
                  <c:v>M</c:v>
                </c:pt>
                <c:pt idx="1">
                  <c:v>S</c:v>
                </c:pt>
              </c:strCache>
            </c:strRef>
          </c:cat>
          <c:val>
            <c:numRef>
              <c:f>Sheet1!$B$2:$B$3</c:f>
              <c:numCache>
                <c:formatCode>General</c:formatCode>
                <c:ptCount val="2"/>
                <c:pt idx="0">
                  <c:v>82</c:v>
                </c:pt>
                <c:pt idx="1">
                  <c:v>83</c:v>
                </c:pt>
              </c:numCache>
            </c:numRef>
          </c:val>
        </c:ser>
        <c:ser>
          <c:idx val="1"/>
          <c:order val="1"/>
          <c:tx>
            <c:strRef>
              <c:f>Sheet1!$C$1</c:f>
              <c:strCache>
                <c:ptCount val="1"/>
                <c:pt idx="0">
                  <c:v>2</c:v>
                </c:pt>
              </c:strCache>
            </c:strRef>
          </c:tx>
          <c:spPr>
            <a:solidFill>
              <a:schemeClr val="accent2"/>
            </a:solidFill>
            <a:ln>
              <a:noFill/>
            </a:ln>
            <a:effectLst/>
          </c:spPr>
          <c:invertIfNegative val="0"/>
          <c:cat>
            <c:strRef>
              <c:f>Sheet1!$A$2:$A$3</c:f>
              <c:strCache>
                <c:ptCount val="2"/>
                <c:pt idx="0">
                  <c:v>M</c:v>
                </c:pt>
                <c:pt idx="1">
                  <c:v>S</c:v>
                </c:pt>
              </c:strCache>
            </c:strRef>
          </c:cat>
          <c:val>
            <c:numRef>
              <c:f>Sheet1!$C$2:$C$3</c:f>
              <c:numCache>
                <c:formatCode>General</c:formatCode>
                <c:ptCount val="2"/>
                <c:pt idx="0">
                  <c:v>22</c:v>
                </c:pt>
                <c:pt idx="1">
                  <c:v>56</c:v>
                </c:pt>
              </c:numCache>
            </c:numRef>
          </c:val>
        </c:ser>
        <c:ser>
          <c:idx val="2"/>
          <c:order val="2"/>
          <c:tx>
            <c:strRef>
              <c:f>Sheet1!$D$1</c:f>
              <c:strCache>
                <c:ptCount val="1"/>
                <c:pt idx="0">
                  <c:v>3</c:v>
                </c:pt>
              </c:strCache>
            </c:strRef>
          </c:tx>
          <c:spPr>
            <a:solidFill>
              <a:schemeClr val="accent3"/>
            </a:solidFill>
            <a:ln>
              <a:noFill/>
            </a:ln>
            <a:effectLst/>
          </c:spPr>
          <c:invertIfNegative val="0"/>
          <c:cat>
            <c:strRef>
              <c:f>Sheet1!$A$2:$A$3</c:f>
              <c:strCache>
                <c:ptCount val="2"/>
                <c:pt idx="0">
                  <c:v>M</c:v>
                </c:pt>
                <c:pt idx="1">
                  <c:v>S</c:v>
                </c:pt>
              </c:strCache>
            </c:strRef>
          </c:cat>
          <c:val>
            <c:numRef>
              <c:f>Sheet1!$D$2:$D$3</c:f>
              <c:numCache>
                <c:formatCode>General</c:formatCode>
                <c:ptCount val="2"/>
                <c:pt idx="0">
                  <c:v>26</c:v>
                </c:pt>
                <c:pt idx="1">
                  <c:v>29</c:v>
                </c:pt>
              </c:numCache>
            </c:numRef>
          </c:val>
        </c:ser>
        <c:dLbls>
          <c:showLegendKey val="0"/>
          <c:showVal val="0"/>
          <c:showCatName val="0"/>
          <c:showSerName val="0"/>
          <c:showPercent val="0"/>
          <c:showBubbleSize val="0"/>
        </c:dLbls>
        <c:gapWidth val="219"/>
        <c:overlap val="-27"/>
        <c:axId val="666189312"/>
        <c:axId val="666189856"/>
      </c:barChart>
      <c:catAx>
        <c:axId val="6661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189856"/>
        <c:crosses val="autoZero"/>
        <c:auto val="1"/>
        <c:lblAlgn val="ctr"/>
        <c:lblOffset val="100"/>
        <c:noMultiLvlLbl val="0"/>
      </c:catAx>
      <c:valAx>
        <c:axId val="666189856"/>
        <c:scaling>
          <c:orientation val="minMax"/>
        </c:scaling>
        <c:delete val="0"/>
        <c:axPos val="l"/>
        <c:title>
          <c:tx>
            <c:rich>
              <a:bodyPr rot="-5400000" vert="horz"/>
              <a:lstStyle/>
              <a:p>
                <a:pPr>
                  <a:defRPr/>
                </a:pPr>
                <a:r>
                  <a:rPr lang="es-ES"/>
                  <a:t>% Liberación</a:t>
                </a:r>
              </a:p>
            </c:rich>
          </c:tx>
          <c:layout>
            <c:manualLayout>
              <c:xMode val="edge"/>
              <c:yMode val="edge"/>
              <c:x val="1.5758772963966661E-2"/>
              <c:y val="0.30150912662936996"/>
            </c:manualLayout>
          </c:layout>
          <c:overlay val="0"/>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189312"/>
        <c:crosses val="autoZero"/>
        <c:crossBetween val="between"/>
      </c:valAx>
      <c:spPr>
        <a:noFill/>
        <a:ln>
          <a:noFill/>
        </a:ln>
        <a:effectLst/>
      </c:spPr>
    </c:plotArea>
    <c:legend>
      <c:legendPos val="r"/>
      <c:layout>
        <c:manualLayout>
          <c:xMode val="edge"/>
          <c:yMode val="edge"/>
          <c:x val="0.92810337804041687"/>
          <c:y val="3.559102318375907E-2"/>
          <c:w val="5.3560014232012745E-2"/>
          <c:h val="0.217043319745803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209BEF30-E294-47D7-8D62-D969B41C5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29401</Words>
  <Characters>167587</Characters>
  <Application>Microsoft Office Word</Application>
  <DocSecurity>0</DocSecurity>
  <Lines>1396</Lines>
  <Paragraphs>393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dc:creator>
  <cp:lastModifiedBy>Miguel Antonio</cp:lastModifiedBy>
  <cp:revision>4</cp:revision>
  <cp:lastPrinted>2015-08-18T11:58:00Z</cp:lastPrinted>
  <dcterms:created xsi:type="dcterms:W3CDTF">2015-09-16T08:09:00Z</dcterms:created>
  <dcterms:modified xsi:type="dcterms:W3CDTF">2015-09-16T08:21:00Z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miguelantonio90@gmail.com@www.mendeley.com</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