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5E" w:rsidRDefault="00B2045E" w:rsidP="00B2045E">
      <w:r>
        <w:t xml:space="preserve">Las carreteras presentan a menudo un dificultoso encaje territorial, pese a la práctica habitual consistente en la previa identificación de los corredores o pasillos viarios factibles, sobre los que, asimismo, tantear diferentes trazados posibles. Tales trazados se analizan desde diferentes puntos de vista, como son el funcional, territorial-medioambiental y económico, principalmente. Así, y del estudio del segundo de ellos, es casi siempre necesaria la implementación de medidas correctoras conducentes a la mitigación de aquellos impactos de mayor entidad. </w:t>
      </w:r>
    </w:p>
    <w:p w:rsidR="00C07759" w:rsidRDefault="00B2045E" w:rsidP="00B2045E">
      <w:r>
        <w:t>De entre los aspectos comentados, el territorial-medioambiental se demuestra como el que está sujeto a mayores incertidumbres y alto grado de subjetividad a la hora de estimar la afección sobre el territorio derivada de un trazado.</w:t>
      </w:r>
      <w:bookmarkStart w:id="0" w:name="_GoBack"/>
      <w:bookmarkEnd w:id="0"/>
    </w:p>
    <w:sectPr w:rsidR="00C07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5E"/>
    <w:rsid w:val="002A2714"/>
    <w:rsid w:val="0051526D"/>
    <w:rsid w:val="00915045"/>
    <w:rsid w:val="00B2045E"/>
    <w:rsid w:val="00D95E67"/>
    <w:rsid w:val="00DB0086"/>
    <w:rsid w:val="00F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2013-07-26T11:47:00Z</dcterms:created>
  <dcterms:modified xsi:type="dcterms:W3CDTF">2013-07-26T11:48:00Z</dcterms:modified>
</cp:coreProperties>
</file>