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28" w:rsidRPr="00E15C28" w:rsidRDefault="00E15C28" w:rsidP="00E15C28">
      <w:pPr>
        <w:pStyle w:val="Ttulo3"/>
        <w:numPr>
          <w:ilvl w:val="0"/>
          <w:numId w:val="0"/>
        </w:numPr>
        <w:spacing w:after="240" w:line="360" w:lineRule="auto"/>
        <w:ind w:left="360" w:hanging="360"/>
        <w:rPr>
          <w:rFonts w:cs="Times New Roman"/>
          <w:lang w:val="en-US"/>
        </w:rPr>
      </w:pPr>
      <w:bookmarkStart w:id="0" w:name="_Toc434862456"/>
      <w:bookmarkStart w:id="1" w:name="_Toc440491996"/>
      <w:bookmarkStart w:id="2" w:name="_GoBack"/>
      <w:bookmarkEnd w:id="2"/>
      <w:r w:rsidRPr="00E15C28">
        <w:rPr>
          <w:rFonts w:eastAsia="Calibri" w:cs="Times New Roman"/>
          <w:lang w:val="en-US"/>
        </w:rPr>
        <w:t>Abstract</w:t>
      </w:r>
      <w:bookmarkEnd w:id="1"/>
    </w:p>
    <w:p w:rsidR="00E15C28" w:rsidRDefault="00E15C28" w:rsidP="00E15C28">
      <w:pPr>
        <w:spacing w:after="240" w:line="360" w:lineRule="auto"/>
        <w:jc w:val="both"/>
        <w:rPr>
          <w:rFonts w:eastAsia="Calibri" w:cs="Times New Roman"/>
          <w:sz w:val="24"/>
          <w:szCs w:val="24"/>
          <w:lang w:val="en-GB"/>
        </w:rPr>
      </w:pPr>
      <w:r>
        <w:rPr>
          <w:rFonts w:eastAsia="Calibri" w:cs="Times New Roman"/>
          <w:sz w:val="24"/>
          <w:szCs w:val="24"/>
          <w:lang w:val="en-GB"/>
        </w:rPr>
        <w:t>The mobile phone sector is characterized by frequent changes, such as heavy investment, the technological revolution, increased competition and minimum regulatory intervention, besides the change in consumer behaviour, due to the generation of network externalities where mobile operators have become service providers which earlier were only associated with specific technologies.</w:t>
      </w:r>
    </w:p>
    <w:p w:rsidR="00E15C28" w:rsidRDefault="00E15C28" w:rsidP="00E15C28">
      <w:pPr>
        <w:spacing w:after="240" w:line="360" w:lineRule="auto"/>
        <w:jc w:val="both"/>
        <w:rPr>
          <w:rFonts w:eastAsia="Calibri" w:cs="Times New Roman"/>
          <w:sz w:val="24"/>
          <w:szCs w:val="24"/>
          <w:lang w:val="en-GB"/>
        </w:rPr>
      </w:pPr>
      <w:r>
        <w:rPr>
          <w:rFonts w:eastAsia="Calibri" w:cs="Times New Roman"/>
          <w:sz w:val="24"/>
          <w:szCs w:val="24"/>
          <w:lang w:val="en-GB"/>
        </w:rPr>
        <w:t xml:space="preserve">There were two stages in the evolution of mobile telephony in Spain: before and after market liberation. The empirical analysis was conducted in three stages using data from the regulator from 2000 to 2013. The first one consisted of market entry, as well as general public acceptance and accessibility of services, in order to achieve economies of scale. The second stage focused on customer profitability achieved by boosting the </w:t>
      </w:r>
      <w:proofErr w:type="spellStart"/>
      <w:r>
        <w:rPr>
          <w:rFonts w:eastAsia="Calibri" w:cs="Times New Roman"/>
          <w:sz w:val="24"/>
          <w:szCs w:val="24"/>
          <w:lang w:val="en-GB"/>
        </w:rPr>
        <w:t>postpaid</w:t>
      </w:r>
      <w:proofErr w:type="spellEnd"/>
      <w:r>
        <w:rPr>
          <w:rFonts w:eastAsia="Calibri" w:cs="Times New Roman"/>
          <w:sz w:val="24"/>
          <w:szCs w:val="24"/>
          <w:lang w:val="en-GB"/>
        </w:rPr>
        <w:t xml:space="preserve"> business and expanding the commercial offer; both strategies led to the consolidation of economies of scale. On the other hand, in the third stage there was a high competition due to the appearance of new operators and MVNOs, combined with the economic crisis.</w:t>
      </w:r>
    </w:p>
    <w:p w:rsidR="00E15C28" w:rsidRDefault="00E15C28" w:rsidP="00E15C28">
      <w:pPr>
        <w:spacing w:after="240" w:line="360" w:lineRule="auto"/>
        <w:jc w:val="both"/>
        <w:rPr>
          <w:rFonts w:eastAsia="Calibri" w:cs="Times New Roman"/>
          <w:sz w:val="24"/>
          <w:szCs w:val="24"/>
          <w:lang w:val="en-GB"/>
        </w:rPr>
      </w:pPr>
      <w:r>
        <w:rPr>
          <w:rFonts w:eastAsia="Calibri" w:cs="Times New Roman"/>
          <w:sz w:val="24"/>
          <w:szCs w:val="24"/>
          <w:lang w:val="en-GB"/>
        </w:rPr>
        <w:t>Several reasons have driven the dynamic telecommunications market, leading to mobile operators modifying their position in search of more proactivity as a response to competitors´ aggressiveness and the need to adapt to customer expectations. Given these conditions, mobile phone companies are challenged to maintain their user base captive, which can only be attained by strengthening the relationship with customers.</w:t>
      </w:r>
    </w:p>
    <w:p w:rsidR="00E15C28" w:rsidRDefault="00E15C28" w:rsidP="00E15C28">
      <w:pPr>
        <w:spacing w:after="240" w:line="360" w:lineRule="auto"/>
        <w:jc w:val="both"/>
        <w:rPr>
          <w:rFonts w:eastAsia="Calibri" w:cs="Times New Roman"/>
          <w:sz w:val="24"/>
          <w:szCs w:val="24"/>
          <w:lang w:val="en-GB"/>
        </w:rPr>
      </w:pPr>
      <w:r>
        <w:rPr>
          <w:rFonts w:eastAsia="Calibri" w:cs="Times New Roman"/>
          <w:sz w:val="24"/>
          <w:szCs w:val="24"/>
          <w:lang w:val="en-GB"/>
        </w:rPr>
        <w:t xml:space="preserve">Therefore, this study explores two of the most relevant aspects to the mobile telecommunications sector referring to the reasons that promote loyalty and disconnection. To address this task the concept mapping methodology was used, which allows </w:t>
      </w:r>
      <w:proofErr w:type="gramStart"/>
      <w:r>
        <w:rPr>
          <w:rFonts w:eastAsia="Calibri" w:cs="Times New Roman"/>
          <w:sz w:val="24"/>
          <w:szCs w:val="24"/>
          <w:lang w:val="en-GB"/>
        </w:rPr>
        <w:t>to carry</w:t>
      </w:r>
      <w:proofErr w:type="gramEnd"/>
      <w:r>
        <w:rPr>
          <w:rFonts w:eastAsia="Calibri" w:cs="Times New Roman"/>
          <w:sz w:val="24"/>
          <w:szCs w:val="24"/>
          <w:lang w:val="en-GB"/>
        </w:rPr>
        <w:t xml:space="preserve"> out a qualitative and quantitative field study. </w:t>
      </w:r>
    </w:p>
    <w:p w:rsidR="00E15C28" w:rsidRDefault="00E15C28" w:rsidP="00E15C28">
      <w:pPr>
        <w:spacing w:after="240" w:line="360" w:lineRule="auto"/>
        <w:jc w:val="both"/>
        <w:rPr>
          <w:rFonts w:eastAsia="Calibri" w:cs="Times New Roman"/>
          <w:sz w:val="24"/>
          <w:szCs w:val="24"/>
          <w:lang w:val="en-GB"/>
        </w:rPr>
      </w:pPr>
      <w:r>
        <w:rPr>
          <w:rFonts w:eastAsia="Calibri" w:cs="Times New Roman"/>
          <w:sz w:val="24"/>
          <w:szCs w:val="24"/>
          <w:lang w:val="en-GB"/>
        </w:rPr>
        <w:t xml:space="preserve">The findings lead to the conclusion that the variables that determine the decision of loyalty and disconnection are associated with the following: the pricing strategy, technological aspects associated to both availability and quality, innovation and new </w:t>
      </w:r>
      <w:r>
        <w:rPr>
          <w:rFonts w:eastAsia="Calibri" w:cs="Times New Roman"/>
          <w:sz w:val="24"/>
          <w:szCs w:val="24"/>
          <w:lang w:val="en-GB"/>
        </w:rPr>
        <w:lastRenderedPageBreak/>
        <w:t>product development strategies and quality customer service; in addition, regarding disconnection the variable innovative promotions is also considered.</w:t>
      </w:r>
    </w:p>
    <w:p w:rsidR="00E15C28" w:rsidRDefault="00E15C28" w:rsidP="00E15C28">
      <w:pPr>
        <w:spacing w:line="360" w:lineRule="auto"/>
        <w:rPr>
          <w:rFonts w:eastAsia="Calibri" w:cs="Times New Roman"/>
          <w:sz w:val="24"/>
          <w:szCs w:val="24"/>
          <w:lang w:val="en-GB"/>
        </w:rPr>
      </w:pPr>
      <w:r>
        <w:rPr>
          <w:rFonts w:eastAsia="Calibri" w:cs="Times New Roman"/>
          <w:sz w:val="24"/>
          <w:szCs w:val="24"/>
          <w:lang w:val="en-GB"/>
        </w:rPr>
        <w:t>The ultimate purpose of the document is to analyse customer relationship variables in the prepaid business, because in some countries it is considered as the product that has led to the expansion of the market, given its massive scope. In addition, the document includes strategic implications, as it describes the actions taken by operators seeking to adapt to the continuously changing market and obtain the long-awaited loyalty.</w:t>
      </w:r>
      <w:bookmarkEnd w:id="0"/>
    </w:p>
    <w:sectPr w:rsidR="00E15C2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A3" w:rsidRDefault="00D25DA3" w:rsidP="00272708">
      <w:pPr>
        <w:spacing w:after="0" w:line="240" w:lineRule="auto"/>
      </w:pPr>
      <w:r>
        <w:separator/>
      </w:r>
    </w:p>
  </w:endnote>
  <w:endnote w:type="continuationSeparator" w:id="0">
    <w:p w:rsidR="00D25DA3" w:rsidRDefault="00D25DA3" w:rsidP="0027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50564"/>
      <w:docPartObj>
        <w:docPartGallery w:val="Page Numbers (Bottom of Page)"/>
        <w:docPartUnique/>
      </w:docPartObj>
    </w:sdtPr>
    <w:sdtEndPr/>
    <w:sdtContent>
      <w:p w:rsidR="00272708" w:rsidRDefault="00272708">
        <w:pPr>
          <w:pStyle w:val="Piedepgina"/>
          <w:jc w:val="right"/>
        </w:pPr>
        <w:r>
          <w:fldChar w:fldCharType="begin"/>
        </w:r>
        <w:r>
          <w:instrText>PAGE   \* MERGEFORMAT</w:instrText>
        </w:r>
        <w:r>
          <w:fldChar w:fldCharType="separate"/>
        </w:r>
        <w:r w:rsidR="00E15C28" w:rsidRPr="00E15C28">
          <w:rPr>
            <w:noProof/>
            <w:lang w:val="es-ES"/>
          </w:rPr>
          <w:t>1</w:t>
        </w:r>
        <w:r>
          <w:fldChar w:fldCharType="end"/>
        </w:r>
      </w:p>
    </w:sdtContent>
  </w:sdt>
  <w:p w:rsidR="00272708" w:rsidRDefault="002727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A3" w:rsidRDefault="00D25DA3" w:rsidP="00272708">
      <w:pPr>
        <w:spacing w:after="0" w:line="240" w:lineRule="auto"/>
      </w:pPr>
      <w:r>
        <w:separator/>
      </w:r>
    </w:p>
  </w:footnote>
  <w:footnote w:type="continuationSeparator" w:id="0">
    <w:p w:rsidR="00D25DA3" w:rsidRDefault="00D25DA3" w:rsidP="00272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08" w:rsidRDefault="00272708" w:rsidP="00272708">
    <w:pPr>
      <w:pStyle w:val="Encabezado"/>
      <w:jc w:val="center"/>
    </w:pPr>
    <w:r w:rsidRPr="00272708">
      <w:t>Telefonía móvil en España: la influencia del marketing relacional en los aspectos estratégicos</w:t>
    </w:r>
  </w:p>
  <w:p w:rsidR="00272708" w:rsidRDefault="00272708">
    <w:pPr>
      <w:pStyle w:val="Encabezado"/>
    </w:pPr>
    <w:r>
      <w:rPr>
        <w:rFonts w:cs="Times New Roman"/>
        <w:noProof/>
        <w:sz w:val="24"/>
        <w:szCs w:val="24"/>
        <w:lang w:eastAsia="es-BO"/>
      </w:rPr>
      <mc:AlternateContent>
        <mc:Choice Requires="wps">
          <w:drawing>
            <wp:anchor distT="0" distB="0" distL="114300" distR="114300" simplePos="0" relativeHeight="251659264" behindDoc="0" locked="0" layoutInCell="1" allowOverlap="1" wp14:anchorId="2888688B" wp14:editId="141F5A2A">
              <wp:simplePos x="0" y="0"/>
              <wp:positionH relativeFrom="column">
                <wp:posOffset>-17145</wp:posOffset>
              </wp:positionH>
              <wp:positionV relativeFrom="paragraph">
                <wp:posOffset>105238</wp:posOffset>
              </wp:positionV>
              <wp:extent cx="5628503" cy="0"/>
              <wp:effectExtent l="0" t="0" r="10795" b="19050"/>
              <wp:wrapNone/>
              <wp:docPr id="4" name="4 Conector recto"/>
              <wp:cNvGraphicFramePr/>
              <a:graphic xmlns:a="http://schemas.openxmlformats.org/drawingml/2006/main">
                <a:graphicData uri="http://schemas.microsoft.com/office/word/2010/wordprocessingShape">
                  <wps:wsp>
                    <wps:cNvCnPr/>
                    <wps:spPr>
                      <a:xfrm>
                        <a:off x="0" y="0"/>
                        <a:ext cx="562850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3pt" to="44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011E"/>
    <w:multiLevelType w:val="multilevel"/>
    <w:tmpl w:val="8D9E711E"/>
    <w:lvl w:ilvl="0">
      <w:start w:val="1"/>
      <w:numFmt w:val="none"/>
      <w:pStyle w:val="Ttulo3"/>
      <w:lvlText w:val="2.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lvlOverride w:ilvl="0">
      <w:lvl w:ilvl="0">
        <w:start w:val="1"/>
        <w:numFmt w:val="none"/>
        <w:pStyle w:val="Ttulo3"/>
        <w:lvlText w:val="2.3."/>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08"/>
    <w:rsid w:val="00272708"/>
    <w:rsid w:val="00A46BA1"/>
    <w:rsid w:val="00A74722"/>
    <w:rsid w:val="00B427D6"/>
    <w:rsid w:val="00D25DA3"/>
    <w:rsid w:val="00E15C28"/>
    <w:rsid w:val="00F2181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nhideWhenUsed/>
    <w:qFormat/>
    <w:rsid w:val="00E15C28"/>
    <w:pPr>
      <w:numPr>
        <w:numId w:val="1"/>
      </w:numPr>
      <w:spacing w:after="180"/>
      <w:jc w:val="both"/>
      <w:outlineLvl w:val="2"/>
    </w:pPr>
    <w:rPr>
      <w:rFonts w:ascii="Times New Roman" w:hAnsi="Times New Roman" w:cstheme="majorBidi"/>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27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2708"/>
  </w:style>
  <w:style w:type="paragraph" w:styleId="Piedepgina">
    <w:name w:val="footer"/>
    <w:basedOn w:val="Normal"/>
    <w:link w:val="PiedepginaCar"/>
    <w:uiPriority w:val="99"/>
    <w:unhideWhenUsed/>
    <w:rsid w:val="002727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708"/>
  </w:style>
  <w:style w:type="paragraph" w:styleId="Textodeglobo">
    <w:name w:val="Balloon Text"/>
    <w:basedOn w:val="Normal"/>
    <w:link w:val="TextodegloboCar"/>
    <w:uiPriority w:val="99"/>
    <w:semiHidden/>
    <w:unhideWhenUsed/>
    <w:rsid w:val="002727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708"/>
    <w:rPr>
      <w:rFonts w:ascii="Tahoma" w:hAnsi="Tahoma" w:cs="Tahoma"/>
      <w:sz w:val="16"/>
      <w:szCs w:val="16"/>
    </w:rPr>
  </w:style>
  <w:style w:type="character" w:customStyle="1" w:styleId="Ttulo3Car">
    <w:name w:val="Título 3 Car"/>
    <w:basedOn w:val="Fuentedeprrafopredeter"/>
    <w:link w:val="Ttulo3"/>
    <w:rsid w:val="00E15C28"/>
    <w:rPr>
      <w:rFonts w:ascii="Times New Roman" w:hAnsi="Times New Roman" w:cstheme="majorBidi"/>
      <w:b/>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nhideWhenUsed/>
    <w:qFormat/>
    <w:rsid w:val="00E15C28"/>
    <w:pPr>
      <w:numPr>
        <w:numId w:val="1"/>
      </w:numPr>
      <w:spacing w:after="180"/>
      <w:jc w:val="both"/>
      <w:outlineLvl w:val="2"/>
    </w:pPr>
    <w:rPr>
      <w:rFonts w:ascii="Times New Roman" w:hAnsi="Times New Roman" w:cstheme="majorBidi"/>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27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2708"/>
  </w:style>
  <w:style w:type="paragraph" w:styleId="Piedepgina">
    <w:name w:val="footer"/>
    <w:basedOn w:val="Normal"/>
    <w:link w:val="PiedepginaCar"/>
    <w:uiPriority w:val="99"/>
    <w:unhideWhenUsed/>
    <w:rsid w:val="002727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708"/>
  </w:style>
  <w:style w:type="paragraph" w:styleId="Textodeglobo">
    <w:name w:val="Balloon Text"/>
    <w:basedOn w:val="Normal"/>
    <w:link w:val="TextodegloboCar"/>
    <w:uiPriority w:val="99"/>
    <w:semiHidden/>
    <w:unhideWhenUsed/>
    <w:rsid w:val="002727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708"/>
    <w:rPr>
      <w:rFonts w:ascii="Tahoma" w:hAnsi="Tahoma" w:cs="Tahoma"/>
      <w:sz w:val="16"/>
      <w:szCs w:val="16"/>
    </w:rPr>
  </w:style>
  <w:style w:type="character" w:customStyle="1" w:styleId="Ttulo3Car">
    <w:name w:val="Título 3 Car"/>
    <w:basedOn w:val="Fuentedeprrafopredeter"/>
    <w:link w:val="Ttulo3"/>
    <w:rsid w:val="00E15C28"/>
    <w:rPr>
      <w:rFonts w:ascii="Times New Roman" w:hAnsi="Times New Roman" w:cstheme="majorBidi"/>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lmiranda</dc:creator>
  <cp:lastModifiedBy>lmiranda</cp:lastModifiedBy>
  <cp:revision>2</cp:revision>
  <dcterms:created xsi:type="dcterms:W3CDTF">2016-01-14T04:41:00Z</dcterms:created>
  <dcterms:modified xsi:type="dcterms:W3CDTF">2016-01-14T04:41:00Z</dcterms:modified>
</cp:coreProperties>
</file>