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CD" w:rsidRDefault="00863ECD" w:rsidP="00863ECD">
      <w:pPr>
        <w:jc w:val="center"/>
        <w:rPr>
          <w:rFonts w:ascii="Arial" w:hAnsi="Arial" w:cs="Arial"/>
          <w:b/>
          <w:sz w:val="40"/>
          <w:szCs w:val="26"/>
          <w:lang w:val="es-ES"/>
        </w:rPr>
      </w:pPr>
      <w:r>
        <w:rPr>
          <w:rFonts w:ascii="Arial" w:hAnsi="Arial" w:cs="Arial"/>
          <w:b/>
          <w:sz w:val="40"/>
          <w:szCs w:val="26"/>
          <w:lang w:val="es-ES"/>
        </w:rPr>
        <w:t>Resumen</w:t>
      </w:r>
    </w:p>
    <w:p w:rsidR="00863ECD" w:rsidRDefault="00863ECD" w:rsidP="00863ECD">
      <w:pPr>
        <w:pStyle w:val="Sangradetextonormal"/>
        <w:spacing w:after="0" w:line="240" w:lineRule="exact"/>
        <w:ind w:left="0"/>
        <w:jc w:val="both"/>
        <w:rPr>
          <w:rFonts w:eastAsia="Calibri"/>
          <w:color w:val="000000"/>
          <w:lang w:val="es-ES"/>
        </w:rPr>
      </w:pPr>
    </w:p>
    <w:p w:rsidR="00863ECD" w:rsidRDefault="00863ECD" w:rsidP="00863ECD">
      <w:pPr>
        <w:pStyle w:val="Sangradetextonormal"/>
        <w:spacing w:after="0" w:line="240" w:lineRule="exact"/>
        <w:ind w:left="0"/>
        <w:jc w:val="both"/>
        <w:rPr>
          <w:lang w:val="es-ES"/>
        </w:rPr>
      </w:pPr>
    </w:p>
    <w:p w:rsidR="00863ECD" w:rsidRDefault="00863ECD" w:rsidP="00863ECD">
      <w:pPr>
        <w:spacing w:line="360" w:lineRule="auto"/>
        <w:ind w:firstLine="720"/>
        <w:rPr>
          <w:iCs/>
          <w:szCs w:val="24"/>
          <w:lang w:val="es-ES"/>
        </w:rPr>
      </w:pPr>
      <w:r>
        <w:rPr>
          <w:iCs/>
          <w:szCs w:val="24"/>
          <w:lang w:val="es-ES"/>
        </w:rPr>
        <w:t xml:space="preserve">La leche humana contiene una gran cantidad de oligosacáridos, libres o unidos a lípidos y proteínas, y su función fisiológica es mayoritariamente desconocida. Estos oligosacáridos son resistentes a la digestión y una gran proporción llega al intestino del lactante, donde pueden ser substratos para la </w:t>
      </w:r>
      <w:proofErr w:type="spellStart"/>
      <w:r>
        <w:rPr>
          <w:iCs/>
          <w:szCs w:val="24"/>
          <w:lang w:val="es-ES"/>
        </w:rPr>
        <w:t>microbiota</w:t>
      </w:r>
      <w:proofErr w:type="spellEnd"/>
      <w:r>
        <w:rPr>
          <w:iCs/>
          <w:szCs w:val="24"/>
          <w:lang w:val="es-ES"/>
        </w:rPr>
        <w:t xml:space="preserve">. </w:t>
      </w:r>
      <w:r>
        <w:rPr>
          <w:noProof/>
          <w:lang w:val="es-ES"/>
        </w:rPr>
        <w:t xml:space="preserve">La lacto-N-biosa (LNB) y la galacto-N-biosa (GNB) son las estructuras tipo-1 que forman el núcleo de los oligosacáridos de la leche humana (OLH) y de las glicoproteínas de la mucina, respectivamente. Los dos azúcares son fermentados por especies del género </w:t>
      </w:r>
      <w:r>
        <w:rPr>
          <w:i/>
          <w:noProof/>
          <w:lang w:val="es-ES"/>
        </w:rPr>
        <w:t>Bifidobacterium</w:t>
      </w:r>
      <w:r>
        <w:rPr>
          <w:noProof/>
          <w:lang w:val="es-ES"/>
        </w:rPr>
        <w:t xml:space="preserve">, pero no hay datos acerca de su utilización por el género </w:t>
      </w:r>
      <w:r>
        <w:rPr>
          <w:i/>
          <w:noProof/>
          <w:lang w:val="es-ES"/>
        </w:rPr>
        <w:t>Lactobacillus</w:t>
      </w:r>
      <w:r>
        <w:rPr>
          <w:noProof/>
          <w:lang w:val="es-ES"/>
        </w:rPr>
        <w:t>.</w:t>
      </w:r>
      <w:r>
        <w:rPr>
          <w:iCs/>
          <w:szCs w:val="24"/>
          <w:lang w:val="es-ES"/>
        </w:rPr>
        <w:t xml:space="preserve"> </w:t>
      </w:r>
      <w:r>
        <w:rPr>
          <w:noProof/>
          <w:lang w:val="es-ES"/>
        </w:rPr>
        <w:t>Tampoco hay información para este género acerca del metabolismo de la N-acetil-lactosamina (LacNAc), que constituye la cadena de azúcar tipo-2 en los OLH, y de la lacto-N-triosa, que forma parte de la estructura de la lacto-N-tetraosa, uno de los OLH más abundantes.</w:t>
      </w:r>
    </w:p>
    <w:p w:rsidR="00863ECD" w:rsidRDefault="00863ECD" w:rsidP="00863ECD">
      <w:pPr>
        <w:spacing w:line="360" w:lineRule="auto"/>
        <w:ind w:firstLine="708"/>
        <w:rPr>
          <w:szCs w:val="24"/>
          <w:lang w:val="es-ES"/>
        </w:rPr>
      </w:pPr>
      <w:proofErr w:type="spellStart"/>
      <w:r>
        <w:rPr>
          <w:i/>
          <w:iCs/>
          <w:szCs w:val="24"/>
          <w:lang w:val="es-ES"/>
        </w:rPr>
        <w:t>Lactobacillus</w:t>
      </w:r>
      <w:proofErr w:type="spellEnd"/>
      <w:r>
        <w:rPr>
          <w:i/>
          <w:iCs/>
          <w:szCs w:val="24"/>
          <w:lang w:val="es-ES"/>
        </w:rPr>
        <w:t xml:space="preserve"> casei </w:t>
      </w:r>
      <w:r>
        <w:rPr>
          <w:szCs w:val="24"/>
          <w:lang w:val="es-ES"/>
        </w:rPr>
        <w:t>es una bacteria láctica aislada de numerosos nichos ambientales como leche, carne, materia vegetal y los tractos reproductivos y gastrointestinales de animales y humanos, incluyendo el intestino de niños lactantes. Además, algunas cepas se utilizan como cultivos iniciadores en la industria láctea y también como probióticos. Esta característica ha llevado a que una de las aplicaciones  más recientes de esta especie sea su adición a fórmulas maternizadas. En este estudio se ha utilizado la cepa de</w:t>
      </w:r>
      <w:r>
        <w:rPr>
          <w:i/>
          <w:szCs w:val="24"/>
          <w:lang w:val="es-ES"/>
        </w:rPr>
        <w:t xml:space="preserve"> L. casei</w:t>
      </w:r>
      <w:r>
        <w:rPr>
          <w:szCs w:val="24"/>
          <w:lang w:val="es-ES"/>
        </w:rPr>
        <w:t xml:space="preserve"> BL23, porque tiene propiedades probióticas, se puede manipular genéticamente y se dispone de la secuencia de su genoma.</w:t>
      </w:r>
    </w:p>
    <w:p w:rsidR="00863ECD" w:rsidRDefault="00863ECD" w:rsidP="00863ECD">
      <w:pPr>
        <w:autoSpaceDE w:val="0"/>
        <w:autoSpaceDN w:val="0"/>
        <w:adjustRightInd w:val="0"/>
        <w:spacing w:line="360" w:lineRule="auto"/>
        <w:ind w:firstLine="708"/>
        <w:rPr>
          <w:color w:val="000000"/>
          <w:szCs w:val="24"/>
          <w:lang w:val="es-ES"/>
        </w:rPr>
      </w:pPr>
      <w:r>
        <w:rPr>
          <w:szCs w:val="24"/>
          <w:lang w:val="es-ES"/>
        </w:rPr>
        <w:t xml:space="preserve">La </w:t>
      </w:r>
      <w:r>
        <w:rPr>
          <w:iCs/>
          <w:szCs w:val="24"/>
          <w:lang w:val="es-ES"/>
        </w:rPr>
        <w:t xml:space="preserve">capacidad de </w:t>
      </w:r>
      <w:r>
        <w:rPr>
          <w:i/>
          <w:iCs/>
          <w:szCs w:val="24"/>
          <w:lang w:val="es-ES"/>
        </w:rPr>
        <w:t>L. casei</w:t>
      </w:r>
      <w:r>
        <w:rPr>
          <w:iCs/>
          <w:szCs w:val="24"/>
          <w:lang w:val="es-ES"/>
        </w:rPr>
        <w:t xml:space="preserve"> de prevalecer en el sistema gastrointestinal dependerá en parte de su versatilidad metabólica para utilizar los carbohidratos disponibles. </w:t>
      </w:r>
      <w:r>
        <w:rPr>
          <w:lang w:val="es-ES"/>
        </w:rPr>
        <w:t xml:space="preserve">En la presente Tesis Doctoral se ha demostrado que la cepa </w:t>
      </w:r>
      <w:r>
        <w:rPr>
          <w:i/>
          <w:szCs w:val="24"/>
          <w:lang w:val="es-ES"/>
        </w:rPr>
        <w:t>L. casei</w:t>
      </w:r>
      <w:r>
        <w:rPr>
          <w:szCs w:val="24"/>
          <w:lang w:val="es-ES"/>
        </w:rPr>
        <w:t xml:space="preserve"> BL23 </w:t>
      </w:r>
      <w:r>
        <w:rPr>
          <w:lang w:val="es-ES"/>
        </w:rPr>
        <w:t xml:space="preserve">se puede cultivar en presencia de LNB, GBN, </w:t>
      </w:r>
      <w:proofErr w:type="spellStart"/>
      <w:r>
        <w:rPr>
          <w:lang w:val="es-ES"/>
        </w:rPr>
        <w:t>LacNAc</w:t>
      </w:r>
      <w:proofErr w:type="spellEnd"/>
      <w:r>
        <w:rPr>
          <w:lang w:val="es-ES"/>
        </w:rPr>
        <w:t>, y lacto-N-triosa como fuentes de carbono. En el metabolismo de la LNB, GNB y también N-</w:t>
      </w:r>
      <w:proofErr w:type="spellStart"/>
      <w:r>
        <w:rPr>
          <w:lang w:val="es-ES"/>
        </w:rPr>
        <w:t>acetilgalactosamina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GalNAc</w:t>
      </w:r>
      <w:proofErr w:type="spellEnd"/>
      <w:r>
        <w:rPr>
          <w:lang w:val="es-ES"/>
        </w:rPr>
        <w:t xml:space="preserve">) está implicado el </w:t>
      </w:r>
      <w:proofErr w:type="spellStart"/>
      <w:r>
        <w:rPr>
          <w:lang w:val="es-ES"/>
        </w:rPr>
        <w:t>operon</w:t>
      </w:r>
      <w:proofErr w:type="spellEnd"/>
      <w:r>
        <w:rPr>
          <w:lang w:val="es-ES"/>
        </w:rPr>
        <w:t xml:space="preserve"> </w:t>
      </w:r>
      <w:proofErr w:type="spellStart"/>
      <w:r>
        <w:rPr>
          <w:i/>
          <w:lang w:val="es-ES"/>
        </w:rPr>
        <w:t>gnbREFGBCDA</w:t>
      </w:r>
      <w:proofErr w:type="spellEnd"/>
      <w:r>
        <w:rPr>
          <w:lang w:val="es-ES"/>
        </w:rPr>
        <w:t xml:space="preserve">. El análisis de actividades enzimáticas y de mutantes para estos genes demostró que esos tres carbohidratos son transportados por el mismo </w:t>
      </w:r>
      <w:r>
        <w:rPr>
          <w:color w:val="000000"/>
          <w:szCs w:val="24"/>
          <w:lang w:val="es-ES"/>
        </w:rPr>
        <w:t xml:space="preserve">sistema </w:t>
      </w:r>
      <w:proofErr w:type="spellStart"/>
      <w:r>
        <w:rPr>
          <w:color w:val="000000"/>
          <w:szCs w:val="24"/>
          <w:lang w:val="es-ES"/>
        </w:rPr>
        <w:t>fosfotransferasa</w:t>
      </w:r>
      <w:proofErr w:type="spellEnd"/>
      <w:r>
        <w:rPr>
          <w:color w:val="000000"/>
          <w:szCs w:val="24"/>
          <w:lang w:val="es-ES"/>
        </w:rPr>
        <w:t xml:space="preserve"> de azúcares dependiente de </w:t>
      </w:r>
      <w:proofErr w:type="spellStart"/>
      <w:r>
        <w:rPr>
          <w:color w:val="000000"/>
          <w:szCs w:val="24"/>
          <w:lang w:val="es-ES"/>
        </w:rPr>
        <w:t>fosfoenolpiruvato</w:t>
      </w:r>
      <w:proofErr w:type="spellEnd"/>
      <w:r>
        <w:rPr>
          <w:color w:val="000000"/>
          <w:szCs w:val="24"/>
          <w:lang w:val="es-ES"/>
        </w:rPr>
        <w:t xml:space="preserve"> (</w:t>
      </w:r>
      <w:proofErr w:type="spellStart"/>
      <w:r>
        <w:rPr>
          <w:color w:val="000000"/>
          <w:szCs w:val="24"/>
          <w:lang w:val="es-ES"/>
        </w:rPr>
        <w:t>PTS</w:t>
      </w:r>
      <w:r>
        <w:rPr>
          <w:color w:val="000000"/>
          <w:szCs w:val="24"/>
          <w:vertAlign w:val="superscript"/>
          <w:lang w:val="es-ES"/>
        </w:rPr>
        <w:t>Gnb</w:t>
      </w:r>
      <w:proofErr w:type="spellEnd"/>
      <w:r>
        <w:rPr>
          <w:color w:val="000000"/>
          <w:szCs w:val="24"/>
          <w:lang w:val="es-ES"/>
        </w:rPr>
        <w:t xml:space="preserve">), y que la </w:t>
      </w:r>
      <w:proofErr w:type="spellStart"/>
      <w:r>
        <w:rPr>
          <w:color w:val="000000"/>
          <w:szCs w:val="24"/>
          <w:lang w:val="es-ES"/>
        </w:rPr>
        <w:t>fosfo</w:t>
      </w:r>
      <w:proofErr w:type="spellEnd"/>
      <w:r>
        <w:rPr>
          <w:color w:val="000000"/>
          <w:szCs w:val="24"/>
          <w:lang w:val="es-ES"/>
        </w:rPr>
        <w:t>-</w:t>
      </w:r>
      <w:r>
        <w:rPr>
          <w:rFonts w:ascii="Symbol" w:hAnsi="Symbol"/>
          <w:color w:val="000000"/>
          <w:szCs w:val="24"/>
          <w:lang w:val="es-ES"/>
        </w:rPr>
        <w:t></w:t>
      </w:r>
      <w:r>
        <w:rPr>
          <w:color w:val="000000"/>
          <w:szCs w:val="24"/>
          <w:lang w:val="es-ES"/>
        </w:rPr>
        <w:t>-</w:t>
      </w:r>
      <w:proofErr w:type="spellStart"/>
      <w:r>
        <w:rPr>
          <w:color w:val="000000"/>
          <w:szCs w:val="24"/>
          <w:lang w:val="es-ES"/>
        </w:rPr>
        <w:t>galactosidasa</w:t>
      </w:r>
      <w:proofErr w:type="spellEnd"/>
      <w:r>
        <w:rPr>
          <w:color w:val="000000"/>
          <w:szCs w:val="24"/>
          <w:lang w:val="es-ES"/>
        </w:rPr>
        <w:t xml:space="preserve"> </w:t>
      </w:r>
      <w:proofErr w:type="spellStart"/>
      <w:r>
        <w:rPr>
          <w:color w:val="000000"/>
          <w:szCs w:val="24"/>
          <w:lang w:val="es-ES"/>
        </w:rPr>
        <w:t>GnbG</w:t>
      </w:r>
      <w:proofErr w:type="spellEnd"/>
      <w:r>
        <w:rPr>
          <w:color w:val="000000"/>
          <w:szCs w:val="24"/>
          <w:lang w:val="es-ES"/>
        </w:rPr>
        <w:t xml:space="preserve"> hidroliza ambos disacáridos. Sin embargo, la N-acetilgalactosamina-6P </w:t>
      </w:r>
      <w:proofErr w:type="spellStart"/>
      <w:r>
        <w:rPr>
          <w:color w:val="000000"/>
          <w:szCs w:val="24"/>
          <w:lang w:val="es-ES"/>
        </w:rPr>
        <w:t>deacetilasa</w:t>
      </w:r>
      <w:proofErr w:type="spellEnd"/>
      <w:r>
        <w:rPr>
          <w:color w:val="000000"/>
          <w:szCs w:val="24"/>
          <w:lang w:val="es-ES"/>
        </w:rPr>
        <w:t xml:space="preserve"> (</w:t>
      </w:r>
      <w:proofErr w:type="spellStart"/>
      <w:r>
        <w:rPr>
          <w:color w:val="000000"/>
          <w:szCs w:val="24"/>
          <w:lang w:val="es-ES"/>
        </w:rPr>
        <w:t>GnbF</w:t>
      </w:r>
      <w:proofErr w:type="spellEnd"/>
      <w:r>
        <w:rPr>
          <w:color w:val="000000"/>
          <w:szCs w:val="24"/>
          <w:lang w:val="es-ES"/>
        </w:rPr>
        <w:t>) y la galactosamina-6P isomerasa/</w:t>
      </w:r>
      <w:proofErr w:type="spellStart"/>
      <w:r>
        <w:rPr>
          <w:color w:val="000000"/>
          <w:szCs w:val="24"/>
          <w:lang w:val="es-ES"/>
        </w:rPr>
        <w:t>deaminasa</w:t>
      </w:r>
      <w:proofErr w:type="spellEnd"/>
      <w:r>
        <w:rPr>
          <w:color w:val="000000"/>
          <w:szCs w:val="24"/>
          <w:lang w:val="es-ES"/>
        </w:rPr>
        <w:t xml:space="preserve"> (</w:t>
      </w:r>
      <w:proofErr w:type="spellStart"/>
      <w:r>
        <w:rPr>
          <w:color w:val="000000"/>
          <w:szCs w:val="24"/>
          <w:lang w:val="es-ES"/>
        </w:rPr>
        <w:t>GnbE</w:t>
      </w:r>
      <w:proofErr w:type="spellEnd"/>
      <w:r>
        <w:rPr>
          <w:color w:val="000000"/>
          <w:szCs w:val="24"/>
          <w:lang w:val="es-ES"/>
        </w:rPr>
        <w:t xml:space="preserve">) están implicadas en la fermentación de la GNB, pero no de la LNB. La </w:t>
      </w:r>
      <w:r>
        <w:rPr>
          <w:color w:val="000000"/>
          <w:szCs w:val="24"/>
          <w:lang w:val="es-ES"/>
        </w:rPr>
        <w:lastRenderedPageBreak/>
        <w:t xml:space="preserve">utilización de ésta depende del gen </w:t>
      </w:r>
      <w:proofErr w:type="spellStart"/>
      <w:r>
        <w:rPr>
          <w:i/>
          <w:color w:val="000000"/>
          <w:szCs w:val="24"/>
          <w:lang w:val="es-ES"/>
        </w:rPr>
        <w:t>nagA</w:t>
      </w:r>
      <w:proofErr w:type="spellEnd"/>
      <w:r>
        <w:rPr>
          <w:color w:val="000000"/>
          <w:szCs w:val="24"/>
          <w:lang w:val="es-ES"/>
        </w:rPr>
        <w:t xml:space="preserve">, que codifica para una N-acetilglucosamina-6P </w:t>
      </w:r>
      <w:proofErr w:type="spellStart"/>
      <w:r>
        <w:rPr>
          <w:color w:val="000000"/>
          <w:szCs w:val="24"/>
          <w:lang w:val="es-ES"/>
        </w:rPr>
        <w:t>deacetilasa</w:t>
      </w:r>
      <w:proofErr w:type="spellEnd"/>
      <w:r>
        <w:rPr>
          <w:color w:val="000000"/>
          <w:szCs w:val="24"/>
          <w:lang w:val="es-ES"/>
        </w:rPr>
        <w:t xml:space="preserve">. Análisis </w:t>
      </w:r>
      <w:proofErr w:type="spellStart"/>
      <w:r>
        <w:rPr>
          <w:color w:val="000000"/>
          <w:szCs w:val="24"/>
          <w:lang w:val="es-ES"/>
        </w:rPr>
        <w:t>transcripcionales</w:t>
      </w:r>
      <w:proofErr w:type="spellEnd"/>
      <w:r>
        <w:rPr>
          <w:color w:val="000000"/>
          <w:szCs w:val="24"/>
          <w:lang w:val="es-ES"/>
        </w:rPr>
        <w:t xml:space="preserve"> demostraron que el </w:t>
      </w:r>
      <w:proofErr w:type="spellStart"/>
      <w:r>
        <w:rPr>
          <w:color w:val="000000"/>
          <w:szCs w:val="24"/>
          <w:lang w:val="es-ES"/>
        </w:rPr>
        <w:t>operon</w:t>
      </w:r>
      <w:proofErr w:type="spellEnd"/>
      <w:r>
        <w:rPr>
          <w:color w:val="000000"/>
          <w:szCs w:val="24"/>
          <w:lang w:val="es-ES"/>
        </w:rPr>
        <w:t xml:space="preserve"> </w:t>
      </w:r>
      <w:proofErr w:type="spellStart"/>
      <w:r>
        <w:rPr>
          <w:i/>
          <w:color w:val="000000"/>
          <w:szCs w:val="24"/>
          <w:lang w:val="es-ES"/>
        </w:rPr>
        <w:t>gnb</w:t>
      </w:r>
      <w:proofErr w:type="spellEnd"/>
      <w:r>
        <w:rPr>
          <w:color w:val="000000"/>
          <w:szCs w:val="24"/>
          <w:lang w:val="es-ES"/>
        </w:rPr>
        <w:t xml:space="preserve"> está regulado por inducción del substrato mediada por el represor </w:t>
      </w:r>
      <w:proofErr w:type="spellStart"/>
      <w:r>
        <w:rPr>
          <w:color w:val="000000"/>
          <w:szCs w:val="24"/>
          <w:lang w:val="es-ES"/>
        </w:rPr>
        <w:t>transcripcional</w:t>
      </w:r>
      <w:proofErr w:type="spellEnd"/>
      <w:r>
        <w:rPr>
          <w:color w:val="000000"/>
          <w:szCs w:val="24"/>
          <w:lang w:val="es-ES"/>
        </w:rPr>
        <w:t xml:space="preserve"> </w:t>
      </w:r>
      <w:proofErr w:type="spellStart"/>
      <w:r>
        <w:rPr>
          <w:color w:val="000000"/>
          <w:szCs w:val="24"/>
          <w:lang w:val="es-ES"/>
        </w:rPr>
        <w:t>GnbR</w:t>
      </w:r>
      <w:proofErr w:type="spellEnd"/>
      <w:r>
        <w:rPr>
          <w:color w:val="000000"/>
          <w:szCs w:val="24"/>
          <w:lang w:val="es-ES"/>
        </w:rPr>
        <w:t xml:space="preserve">, el cual se une a una región de DNA de 26 pares de bases que contiene secuencias invertidas repetidas exhibiendo un núcleo conservado 2T/2A. Por encima del </w:t>
      </w:r>
      <w:proofErr w:type="spellStart"/>
      <w:r>
        <w:rPr>
          <w:color w:val="000000"/>
          <w:szCs w:val="24"/>
          <w:lang w:val="es-ES"/>
        </w:rPr>
        <w:t>operon</w:t>
      </w:r>
      <w:proofErr w:type="spellEnd"/>
      <w:r>
        <w:rPr>
          <w:color w:val="000000"/>
          <w:szCs w:val="24"/>
          <w:lang w:val="es-ES"/>
        </w:rPr>
        <w:t xml:space="preserve"> </w:t>
      </w:r>
      <w:proofErr w:type="spellStart"/>
      <w:r>
        <w:rPr>
          <w:i/>
          <w:color w:val="000000"/>
          <w:szCs w:val="24"/>
          <w:lang w:val="es-ES"/>
        </w:rPr>
        <w:t>gnb</w:t>
      </w:r>
      <w:proofErr w:type="spellEnd"/>
      <w:r>
        <w:rPr>
          <w:color w:val="000000"/>
          <w:szCs w:val="24"/>
          <w:lang w:val="es-ES"/>
        </w:rPr>
        <w:t xml:space="preserve">, hay dos genes </w:t>
      </w:r>
      <w:proofErr w:type="spellStart"/>
      <w:r>
        <w:rPr>
          <w:i/>
          <w:color w:val="000000"/>
          <w:szCs w:val="24"/>
          <w:lang w:val="es-ES"/>
        </w:rPr>
        <w:t>bnaG</w:t>
      </w:r>
      <w:proofErr w:type="spellEnd"/>
      <w:r>
        <w:rPr>
          <w:color w:val="000000"/>
          <w:szCs w:val="24"/>
          <w:lang w:val="es-ES"/>
        </w:rPr>
        <w:t xml:space="preserve"> y </w:t>
      </w:r>
      <w:proofErr w:type="spellStart"/>
      <w:r>
        <w:rPr>
          <w:i/>
          <w:color w:val="000000"/>
          <w:szCs w:val="24"/>
          <w:lang w:val="es-ES"/>
        </w:rPr>
        <w:t>manA</w:t>
      </w:r>
      <w:proofErr w:type="spellEnd"/>
      <w:r>
        <w:rPr>
          <w:color w:val="000000"/>
          <w:szCs w:val="24"/>
          <w:lang w:val="es-ES"/>
        </w:rPr>
        <w:t xml:space="preserve">, que codifican para el precursor de una </w:t>
      </w:r>
      <w:r>
        <w:rPr>
          <w:rFonts w:ascii="Symbol" w:hAnsi="Symbol"/>
          <w:color w:val="000000"/>
          <w:szCs w:val="24"/>
          <w:lang w:val="es-ES"/>
        </w:rPr>
        <w:t></w:t>
      </w:r>
      <w:r>
        <w:rPr>
          <w:color w:val="000000"/>
          <w:szCs w:val="24"/>
          <w:lang w:val="es-ES"/>
        </w:rPr>
        <w:t>-N-</w:t>
      </w:r>
      <w:proofErr w:type="spellStart"/>
      <w:r>
        <w:rPr>
          <w:color w:val="000000"/>
          <w:szCs w:val="24"/>
          <w:lang w:val="es-ES"/>
        </w:rPr>
        <w:t>acetilglucosaminidasa</w:t>
      </w:r>
      <w:proofErr w:type="spellEnd"/>
      <w:r>
        <w:rPr>
          <w:color w:val="000000"/>
          <w:szCs w:val="24"/>
          <w:lang w:val="es-ES"/>
        </w:rPr>
        <w:t xml:space="preserve"> y una manosa-6P isomerasa. Se ha demostrado que </w:t>
      </w:r>
      <w:proofErr w:type="spellStart"/>
      <w:r>
        <w:rPr>
          <w:color w:val="000000"/>
          <w:szCs w:val="24"/>
          <w:lang w:val="es-ES"/>
        </w:rPr>
        <w:t>BnaG</w:t>
      </w:r>
      <w:proofErr w:type="spellEnd"/>
      <w:r>
        <w:rPr>
          <w:color w:val="000000"/>
          <w:szCs w:val="24"/>
          <w:lang w:val="es-ES"/>
        </w:rPr>
        <w:t xml:space="preserve"> es un enzima extracelular unido a la pared celular y que está implicado en el metabolismo de la </w:t>
      </w:r>
      <w:r>
        <w:rPr>
          <w:lang w:val="es-ES"/>
        </w:rPr>
        <w:t>lacto-N-triosa</w:t>
      </w:r>
      <w:r>
        <w:rPr>
          <w:color w:val="000000"/>
          <w:szCs w:val="24"/>
          <w:lang w:val="es-ES"/>
        </w:rPr>
        <w:t xml:space="preserve">. Ésta es hidrolizada por </w:t>
      </w:r>
      <w:proofErr w:type="spellStart"/>
      <w:r>
        <w:rPr>
          <w:color w:val="000000"/>
          <w:szCs w:val="24"/>
          <w:lang w:val="es-ES"/>
        </w:rPr>
        <w:t>BnaG</w:t>
      </w:r>
      <w:proofErr w:type="spellEnd"/>
      <w:r>
        <w:rPr>
          <w:color w:val="000000"/>
          <w:szCs w:val="24"/>
          <w:lang w:val="es-ES"/>
        </w:rPr>
        <w:t xml:space="preserve"> en lactosa y N-</w:t>
      </w:r>
      <w:proofErr w:type="spellStart"/>
      <w:r>
        <w:rPr>
          <w:color w:val="000000"/>
          <w:szCs w:val="24"/>
          <w:lang w:val="es-ES"/>
        </w:rPr>
        <w:t>acetilglucosamina</w:t>
      </w:r>
      <w:proofErr w:type="spellEnd"/>
      <w:r>
        <w:rPr>
          <w:color w:val="000000"/>
          <w:szCs w:val="24"/>
          <w:lang w:val="es-ES"/>
        </w:rPr>
        <w:t xml:space="preserve"> (</w:t>
      </w:r>
      <w:proofErr w:type="spellStart"/>
      <w:r>
        <w:rPr>
          <w:color w:val="000000"/>
          <w:szCs w:val="24"/>
          <w:lang w:val="es-ES"/>
        </w:rPr>
        <w:t>GlcNAc</w:t>
      </w:r>
      <w:proofErr w:type="spellEnd"/>
      <w:r>
        <w:rPr>
          <w:color w:val="000000"/>
          <w:szCs w:val="24"/>
          <w:lang w:val="es-ES"/>
        </w:rPr>
        <w:t xml:space="preserve">). El enzima </w:t>
      </w:r>
      <w:proofErr w:type="spellStart"/>
      <w:r>
        <w:rPr>
          <w:color w:val="000000"/>
          <w:szCs w:val="24"/>
          <w:lang w:val="es-ES"/>
        </w:rPr>
        <w:t>ManA</w:t>
      </w:r>
      <w:proofErr w:type="spellEnd"/>
      <w:r>
        <w:rPr>
          <w:color w:val="000000"/>
          <w:szCs w:val="24"/>
          <w:lang w:val="es-ES"/>
        </w:rPr>
        <w:t xml:space="preserve"> está implicada en el metabolismo de la manosa presente en el disacárido 3’-N-acetilglucosaminil-manosa, el cual es también una fuente de carbono para </w:t>
      </w:r>
      <w:r>
        <w:rPr>
          <w:i/>
          <w:color w:val="000000"/>
          <w:szCs w:val="24"/>
          <w:lang w:val="es-ES"/>
        </w:rPr>
        <w:t>L. casei</w:t>
      </w:r>
      <w:r>
        <w:rPr>
          <w:color w:val="000000"/>
          <w:szCs w:val="24"/>
          <w:lang w:val="es-ES"/>
        </w:rPr>
        <w:t xml:space="preserve"> BL23. Por último, en esta cepa se ha demostrado que la </w:t>
      </w:r>
      <w:proofErr w:type="spellStart"/>
      <w:r>
        <w:rPr>
          <w:color w:val="000000"/>
          <w:szCs w:val="24"/>
          <w:lang w:val="es-ES"/>
        </w:rPr>
        <w:t>LacNAc</w:t>
      </w:r>
      <w:proofErr w:type="spellEnd"/>
      <w:r>
        <w:rPr>
          <w:color w:val="000000"/>
          <w:szCs w:val="24"/>
          <w:lang w:val="es-ES"/>
        </w:rPr>
        <w:t xml:space="preserve"> es transportada y </w:t>
      </w:r>
      <w:proofErr w:type="spellStart"/>
      <w:r>
        <w:rPr>
          <w:color w:val="000000"/>
          <w:szCs w:val="24"/>
          <w:lang w:val="es-ES"/>
        </w:rPr>
        <w:t>fosforilada</w:t>
      </w:r>
      <w:proofErr w:type="spellEnd"/>
      <w:r>
        <w:rPr>
          <w:color w:val="000000"/>
          <w:szCs w:val="24"/>
          <w:lang w:val="es-ES"/>
        </w:rPr>
        <w:t xml:space="preserve"> por el PTS de la lactosa e hidrolizada intracelularmente por la </w:t>
      </w:r>
      <w:proofErr w:type="spellStart"/>
      <w:r>
        <w:rPr>
          <w:color w:val="000000"/>
          <w:szCs w:val="24"/>
          <w:lang w:val="es-ES"/>
        </w:rPr>
        <w:t>fosfo</w:t>
      </w:r>
      <w:proofErr w:type="spellEnd"/>
      <w:r>
        <w:rPr>
          <w:color w:val="000000"/>
          <w:szCs w:val="24"/>
          <w:lang w:val="es-ES"/>
        </w:rPr>
        <w:t>-</w:t>
      </w:r>
      <w:r>
        <w:rPr>
          <w:rFonts w:ascii="Symbol" w:hAnsi="Symbol"/>
          <w:color w:val="000000"/>
          <w:szCs w:val="24"/>
          <w:lang w:val="es-ES"/>
        </w:rPr>
        <w:t></w:t>
      </w:r>
      <w:r>
        <w:rPr>
          <w:color w:val="000000"/>
          <w:szCs w:val="24"/>
          <w:lang w:val="es-ES"/>
        </w:rPr>
        <w:t>-</w:t>
      </w:r>
      <w:proofErr w:type="spellStart"/>
      <w:r>
        <w:rPr>
          <w:color w:val="000000"/>
          <w:szCs w:val="24"/>
          <w:lang w:val="es-ES"/>
        </w:rPr>
        <w:t>galactosidasa</w:t>
      </w:r>
      <w:proofErr w:type="spellEnd"/>
      <w:r>
        <w:rPr>
          <w:color w:val="000000"/>
          <w:szCs w:val="24"/>
          <w:lang w:val="es-ES"/>
        </w:rPr>
        <w:t xml:space="preserve"> </w:t>
      </w:r>
      <w:proofErr w:type="spellStart"/>
      <w:r>
        <w:rPr>
          <w:color w:val="000000"/>
          <w:szCs w:val="24"/>
          <w:lang w:val="es-ES"/>
        </w:rPr>
        <w:t>LacG</w:t>
      </w:r>
      <w:proofErr w:type="spellEnd"/>
      <w:r>
        <w:rPr>
          <w:color w:val="000000"/>
          <w:szCs w:val="24"/>
          <w:lang w:val="es-ES"/>
        </w:rPr>
        <w:t xml:space="preserve"> en galactosa-6P y </w:t>
      </w:r>
      <w:proofErr w:type="spellStart"/>
      <w:r>
        <w:rPr>
          <w:color w:val="000000"/>
          <w:szCs w:val="24"/>
          <w:lang w:val="es-ES"/>
        </w:rPr>
        <w:t>GlcNAc</w:t>
      </w:r>
      <w:proofErr w:type="spellEnd"/>
      <w:r>
        <w:rPr>
          <w:color w:val="000000"/>
          <w:szCs w:val="24"/>
          <w:lang w:val="es-ES"/>
        </w:rPr>
        <w:t xml:space="preserve">. Análisis </w:t>
      </w:r>
      <w:proofErr w:type="spellStart"/>
      <w:r>
        <w:rPr>
          <w:color w:val="000000"/>
          <w:szCs w:val="24"/>
          <w:lang w:val="es-ES"/>
        </w:rPr>
        <w:t>transcripcionales</w:t>
      </w:r>
      <w:proofErr w:type="spellEnd"/>
      <w:r>
        <w:rPr>
          <w:color w:val="000000"/>
          <w:szCs w:val="24"/>
          <w:lang w:val="es-ES"/>
        </w:rPr>
        <w:t xml:space="preserve"> demostraron que el </w:t>
      </w:r>
      <w:proofErr w:type="spellStart"/>
      <w:r>
        <w:rPr>
          <w:color w:val="000000"/>
          <w:szCs w:val="24"/>
          <w:lang w:val="es-ES"/>
        </w:rPr>
        <w:t>operon</w:t>
      </w:r>
      <w:proofErr w:type="spellEnd"/>
      <w:r>
        <w:rPr>
          <w:color w:val="000000"/>
          <w:szCs w:val="24"/>
          <w:lang w:val="es-ES"/>
        </w:rPr>
        <w:t xml:space="preserve"> </w:t>
      </w:r>
      <w:proofErr w:type="spellStart"/>
      <w:r>
        <w:rPr>
          <w:i/>
          <w:color w:val="000000"/>
          <w:szCs w:val="24"/>
          <w:lang w:val="es-ES"/>
        </w:rPr>
        <w:t>lac</w:t>
      </w:r>
      <w:proofErr w:type="spellEnd"/>
      <w:r>
        <w:rPr>
          <w:color w:val="000000"/>
          <w:szCs w:val="24"/>
          <w:lang w:val="es-ES"/>
        </w:rPr>
        <w:t xml:space="preserve">, además de por lactosa, está también inducido por </w:t>
      </w:r>
      <w:proofErr w:type="spellStart"/>
      <w:r>
        <w:rPr>
          <w:color w:val="000000"/>
          <w:szCs w:val="24"/>
          <w:lang w:val="es-ES"/>
        </w:rPr>
        <w:t>LacNAc</w:t>
      </w:r>
      <w:proofErr w:type="spellEnd"/>
      <w:r>
        <w:rPr>
          <w:color w:val="000000"/>
          <w:szCs w:val="24"/>
          <w:lang w:val="es-ES"/>
        </w:rPr>
        <w:t>.</w:t>
      </w:r>
    </w:p>
    <w:p w:rsidR="00863ECD" w:rsidRDefault="00863ECD" w:rsidP="00863ECD">
      <w:pPr>
        <w:spacing w:line="360" w:lineRule="auto"/>
        <w:ind w:firstLine="720"/>
        <w:rPr>
          <w:szCs w:val="24"/>
          <w:lang w:val="es-ES"/>
        </w:rPr>
      </w:pPr>
      <w:r>
        <w:rPr>
          <w:noProof/>
          <w:lang w:val="es-ES"/>
        </w:rPr>
        <w:t xml:space="preserve">Para intentar comprender mejor el metabolismo y potencial bioactivo de los OLH se necesitan cantidades adecuadas de éstos, las cuales, dadas las dificultades implícitas a su obtención de la leche humana o por síntesis química, dependerán del desarrollo de aproximaciones enzimáticas. Además, los oligosacáridos son abundantes en la leche humana pero no en las fórmulas infantiles. </w:t>
      </w:r>
      <w:r>
        <w:rPr>
          <w:lang w:val="es-ES"/>
        </w:rPr>
        <w:t xml:space="preserve">Con el objeto de disponer de LNB y GNB en cantidad suficiente para ensayar su actividad biológica, se han sintetizado </w:t>
      </w:r>
      <w:r>
        <w:rPr>
          <w:i/>
          <w:lang w:val="es-ES"/>
        </w:rPr>
        <w:t>in vitro</w:t>
      </w:r>
      <w:r>
        <w:rPr>
          <w:lang w:val="es-ES"/>
        </w:rPr>
        <w:t xml:space="preserve"> ambos disacáridos utilizando para ello la capacidad de </w:t>
      </w:r>
      <w:proofErr w:type="spellStart"/>
      <w:r>
        <w:rPr>
          <w:lang w:val="es-ES"/>
        </w:rPr>
        <w:t>transglicosidación</w:t>
      </w:r>
      <w:proofErr w:type="spellEnd"/>
      <w:r>
        <w:rPr>
          <w:lang w:val="es-ES"/>
        </w:rPr>
        <w:t xml:space="preserve"> de la </w:t>
      </w:r>
      <w:proofErr w:type="spellStart"/>
      <w:r>
        <w:rPr>
          <w:lang w:val="es-ES"/>
        </w:rPr>
        <w:t>glicosil</w:t>
      </w:r>
      <w:proofErr w:type="spellEnd"/>
      <w:r>
        <w:rPr>
          <w:lang w:val="es-ES"/>
        </w:rPr>
        <w:t xml:space="preserve"> hidrolasa </w:t>
      </w:r>
      <w:proofErr w:type="spellStart"/>
      <w:r>
        <w:rPr>
          <w:lang w:val="es-ES"/>
        </w:rPr>
        <w:t>GnbG</w:t>
      </w:r>
      <w:proofErr w:type="spellEnd"/>
      <w:r>
        <w:rPr>
          <w:lang w:val="es-ES"/>
        </w:rPr>
        <w:t xml:space="preserve"> aislada de </w:t>
      </w:r>
      <w:r>
        <w:rPr>
          <w:i/>
          <w:lang w:val="es-ES"/>
        </w:rPr>
        <w:t>L. casei</w:t>
      </w:r>
      <w:r>
        <w:rPr>
          <w:lang w:val="es-ES"/>
        </w:rPr>
        <w:t>. L</w:t>
      </w:r>
      <w:r>
        <w:rPr>
          <w:szCs w:val="24"/>
          <w:lang w:val="es-ES"/>
        </w:rPr>
        <w:t xml:space="preserve">as reacciones de </w:t>
      </w:r>
      <w:proofErr w:type="spellStart"/>
      <w:r>
        <w:rPr>
          <w:szCs w:val="24"/>
          <w:lang w:val="es-ES"/>
        </w:rPr>
        <w:t>transglicosidación</w:t>
      </w:r>
      <w:proofErr w:type="spellEnd"/>
      <w:r>
        <w:rPr>
          <w:szCs w:val="24"/>
          <w:lang w:val="es-ES"/>
        </w:rPr>
        <w:t xml:space="preserve"> se escalaron, los productos resultantes se purificaron, y se obtuvieron rendimientos de 10.7 ± 0.2 g/l de LNB y 10.8 ± 0.3 g/l de GNB. </w:t>
      </w:r>
    </w:p>
    <w:p w:rsidR="00863ECD" w:rsidRDefault="00863ECD" w:rsidP="00863ECD">
      <w:pPr>
        <w:spacing w:line="360" w:lineRule="auto"/>
        <w:ind w:firstLine="720"/>
        <w:rPr>
          <w:szCs w:val="24"/>
          <w:lang w:val="es-ES"/>
        </w:rPr>
      </w:pPr>
      <w:r>
        <w:rPr>
          <w:szCs w:val="24"/>
          <w:lang w:val="es-ES"/>
        </w:rPr>
        <w:t xml:space="preserve">Ambos disacáridos fueron utilizados </w:t>
      </w:r>
      <w:r>
        <w:rPr>
          <w:i/>
          <w:szCs w:val="24"/>
          <w:lang w:val="es-ES"/>
        </w:rPr>
        <w:t>in vitro</w:t>
      </w:r>
      <w:r>
        <w:rPr>
          <w:szCs w:val="24"/>
          <w:lang w:val="es-ES"/>
        </w:rPr>
        <w:t xml:space="preserve"> para determinar sus propiedades prebióticas potenciales con 33 cepas de </w:t>
      </w:r>
      <w:proofErr w:type="spellStart"/>
      <w:r>
        <w:rPr>
          <w:i/>
          <w:szCs w:val="24"/>
          <w:lang w:val="es-ES"/>
        </w:rPr>
        <w:t>Lactobacillus</w:t>
      </w:r>
      <w:proofErr w:type="spellEnd"/>
      <w:r>
        <w:rPr>
          <w:i/>
          <w:szCs w:val="24"/>
          <w:lang w:val="es-ES"/>
        </w:rPr>
        <w:t xml:space="preserve"> </w:t>
      </w:r>
      <w:r>
        <w:rPr>
          <w:szCs w:val="24"/>
          <w:lang w:val="es-ES"/>
        </w:rPr>
        <w:t xml:space="preserve">correspondientes a 13 especies diferentes. Se determinó que 21 de las cepas, correspondientes a las especies </w:t>
      </w:r>
      <w:r>
        <w:rPr>
          <w:i/>
          <w:color w:val="000000"/>
          <w:szCs w:val="24"/>
          <w:lang w:val="es-ES"/>
        </w:rPr>
        <w:t>L. casei</w:t>
      </w:r>
      <w:r>
        <w:rPr>
          <w:color w:val="000000"/>
          <w:szCs w:val="24"/>
          <w:lang w:val="es-ES"/>
        </w:rPr>
        <w:t xml:space="preserve">, </w:t>
      </w:r>
      <w:proofErr w:type="spellStart"/>
      <w:r>
        <w:rPr>
          <w:i/>
          <w:color w:val="000000"/>
          <w:szCs w:val="24"/>
          <w:lang w:val="es-ES"/>
        </w:rPr>
        <w:t>Lactobacillus</w:t>
      </w:r>
      <w:proofErr w:type="spellEnd"/>
      <w:r>
        <w:rPr>
          <w:i/>
          <w:color w:val="000000"/>
          <w:szCs w:val="24"/>
          <w:lang w:val="es-ES"/>
        </w:rPr>
        <w:t xml:space="preserve"> </w:t>
      </w:r>
      <w:proofErr w:type="spellStart"/>
      <w:r>
        <w:rPr>
          <w:i/>
          <w:color w:val="000000"/>
          <w:szCs w:val="24"/>
          <w:lang w:val="es-ES"/>
        </w:rPr>
        <w:t>rhamnosus</w:t>
      </w:r>
      <w:proofErr w:type="spellEnd"/>
      <w:r>
        <w:rPr>
          <w:color w:val="000000"/>
          <w:szCs w:val="24"/>
          <w:lang w:val="es-ES"/>
        </w:rPr>
        <w:t xml:space="preserve">, </w:t>
      </w:r>
      <w:proofErr w:type="spellStart"/>
      <w:r>
        <w:rPr>
          <w:i/>
          <w:color w:val="000000"/>
          <w:szCs w:val="24"/>
          <w:lang w:val="es-ES"/>
        </w:rPr>
        <w:t>Lactobacillus</w:t>
      </w:r>
      <w:proofErr w:type="spellEnd"/>
      <w:r>
        <w:rPr>
          <w:i/>
          <w:color w:val="000000"/>
          <w:szCs w:val="24"/>
          <w:lang w:val="es-ES"/>
        </w:rPr>
        <w:t xml:space="preserve"> </w:t>
      </w:r>
      <w:proofErr w:type="spellStart"/>
      <w:r>
        <w:rPr>
          <w:i/>
          <w:color w:val="000000"/>
          <w:szCs w:val="24"/>
          <w:lang w:val="es-ES"/>
        </w:rPr>
        <w:t>zeae</w:t>
      </w:r>
      <w:proofErr w:type="spellEnd"/>
      <w:r>
        <w:rPr>
          <w:color w:val="000000"/>
          <w:szCs w:val="24"/>
          <w:lang w:val="es-ES"/>
        </w:rPr>
        <w:t xml:space="preserve">, </w:t>
      </w:r>
      <w:proofErr w:type="spellStart"/>
      <w:r>
        <w:rPr>
          <w:i/>
          <w:color w:val="000000"/>
          <w:szCs w:val="24"/>
          <w:lang w:val="es-ES"/>
        </w:rPr>
        <w:t>Lactobacillus</w:t>
      </w:r>
      <w:proofErr w:type="spellEnd"/>
      <w:r>
        <w:rPr>
          <w:i/>
          <w:color w:val="000000"/>
          <w:szCs w:val="24"/>
          <w:lang w:val="es-ES"/>
        </w:rPr>
        <w:t xml:space="preserve"> </w:t>
      </w:r>
      <w:proofErr w:type="spellStart"/>
      <w:r>
        <w:rPr>
          <w:i/>
          <w:color w:val="000000"/>
          <w:szCs w:val="24"/>
          <w:lang w:val="es-ES"/>
        </w:rPr>
        <w:t>gasseri</w:t>
      </w:r>
      <w:proofErr w:type="spellEnd"/>
      <w:r>
        <w:rPr>
          <w:color w:val="000000"/>
          <w:szCs w:val="24"/>
          <w:lang w:val="es-ES"/>
        </w:rPr>
        <w:t xml:space="preserve"> y </w:t>
      </w:r>
      <w:proofErr w:type="spellStart"/>
      <w:r>
        <w:rPr>
          <w:i/>
          <w:color w:val="000000"/>
          <w:szCs w:val="24"/>
          <w:lang w:val="es-ES"/>
        </w:rPr>
        <w:t>Lactobacillus</w:t>
      </w:r>
      <w:proofErr w:type="spellEnd"/>
      <w:r>
        <w:rPr>
          <w:i/>
          <w:color w:val="000000"/>
          <w:szCs w:val="24"/>
          <w:lang w:val="es-ES"/>
        </w:rPr>
        <w:t xml:space="preserve"> </w:t>
      </w:r>
      <w:proofErr w:type="spellStart"/>
      <w:r>
        <w:rPr>
          <w:i/>
          <w:color w:val="000000"/>
          <w:szCs w:val="24"/>
          <w:lang w:val="es-ES"/>
        </w:rPr>
        <w:t>johnsonii</w:t>
      </w:r>
      <w:proofErr w:type="spellEnd"/>
      <w:r>
        <w:rPr>
          <w:szCs w:val="24"/>
          <w:lang w:val="es-ES"/>
        </w:rPr>
        <w:t xml:space="preserve"> fueron capaces de metabolizar tanto GNB como LNB. Experimentos de hibridación de DNA demostraron que el metabolismo de estos disacáridos en las cepas de </w:t>
      </w:r>
      <w:r>
        <w:rPr>
          <w:i/>
          <w:szCs w:val="24"/>
          <w:lang w:val="es-ES"/>
        </w:rPr>
        <w:t>L. casei</w:t>
      </w:r>
      <w:r>
        <w:rPr>
          <w:szCs w:val="24"/>
          <w:lang w:val="es-ES"/>
        </w:rPr>
        <w:t xml:space="preserve">, </w:t>
      </w:r>
      <w:r>
        <w:rPr>
          <w:i/>
          <w:szCs w:val="24"/>
          <w:lang w:val="es-ES"/>
        </w:rPr>
        <w:t xml:space="preserve">L. </w:t>
      </w:r>
      <w:proofErr w:type="spellStart"/>
      <w:r>
        <w:rPr>
          <w:i/>
          <w:szCs w:val="24"/>
          <w:lang w:val="es-ES"/>
        </w:rPr>
        <w:t>rhamnosus</w:t>
      </w:r>
      <w:proofErr w:type="spellEnd"/>
      <w:r>
        <w:rPr>
          <w:szCs w:val="24"/>
          <w:lang w:val="es-ES"/>
        </w:rPr>
        <w:t xml:space="preserve"> y </w:t>
      </w:r>
      <w:r>
        <w:rPr>
          <w:i/>
          <w:szCs w:val="24"/>
          <w:lang w:val="es-ES"/>
        </w:rPr>
        <w:t xml:space="preserve">L. </w:t>
      </w:r>
      <w:proofErr w:type="spellStart"/>
      <w:r>
        <w:rPr>
          <w:i/>
          <w:szCs w:val="24"/>
          <w:lang w:val="es-ES"/>
        </w:rPr>
        <w:t>zeae</w:t>
      </w:r>
      <w:proofErr w:type="spellEnd"/>
      <w:r>
        <w:rPr>
          <w:szCs w:val="24"/>
          <w:lang w:val="es-ES"/>
        </w:rPr>
        <w:t xml:space="preserve"> depende de una </w:t>
      </w:r>
      <w:proofErr w:type="spellStart"/>
      <w:r>
        <w:rPr>
          <w:szCs w:val="24"/>
          <w:lang w:val="es-ES"/>
        </w:rPr>
        <w:t>fosfo</w:t>
      </w:r>
      <w:proofErr w:type="spellEnd"/>
      <w:r>
        <w:rPr>
          <w:szCs w:val="24"/>
          <w:lang w:val="es-ES"/>
        </w:rPr>
        <w:t>-</w:t>
      </w:r>
      <w:r>
        <w:rPr>
          <w:rFonts w:ascii="Symbol" w:hAnsi="Symbol"/>
          <w:szCs w:val="24"/>
          <w:lang w:val="es-ES"/>
        </w:rPr>
        <w:t></w:t>
      </w:r>
      <w:r>
        <w:rPr>
          <w:szCs w:val="24"/>
          <w:lang w:val="es-ES"/>
        </w:rPr>
        <w:t>-</w:t>
      </w:r>
      <w:proofErr w:type="spellStart"/>
      <w:r>
        <w:rPr>
          <w:szCs w:val="24"/>
          <w:lang w:val="es-ES"/>
        </w:rPr>
        <w:t>galactosidasa</w:t>
      </w:r>
      <w:proofErr w:type="spellEnd"/>
      <w:r>
        <w:rPr>
          <w:szCs w:val="24"/>
          <w:lang w:val="es-ES"/>
        </w:rPr>
        <w:t xml:space="preserve"> homóloga a </w:t>
      </w:r>
      <w:proofErr w:type="spellStart"/>
      <w:r>
        <w:rPr>
          <w:szCs w:val="24"/>
          <w:lang w:val="es-ES"/>
        </w:rPr>
        <w:t>GnbG</w:t>
      </w:r>
      <w:proofErr w:type="spellEnd"/>
      <w:r>
        <w:rPr>
          <w:szCs w:val="24"/>
          <w:lang w:val="es-ES"/>
        </w:rPr>
        <w:t xml:space="preserve">. </w:t>
      </w:r>
    </w:p>
    <w:p w:rsidR="00863ECD" w:rsidRDefault="00863ECD" w:rsidP="00863ECD">
      <w:pPr>
        <w:spacing w:line="360" w:lineRule="auto"/>
        <w:ind w:firstLine="720"/>
        <w:rPr>
          <w:rFonts w:cs="Helvetica"/>
          <w:bCs/>
          <w:color w:val="000000"/>
          <w:szCs w:val="18"/>
          <w:lang w:val="es-ES"/>
        </w:rPr>
      </w:pPr>
      <w:r>
        <w:rPr>
          <w:color w:val="000000"/>
          <w:szCs w:val="24"/>
          <w:lang w:val="es-ES"/>
        </w:rPr>
        <w:lastRenderedPageBreak/>
        <w:t xml:space="preserve">Existen evidencias científicas recientes que les atribuyen a los OLH propiedades </w:t>
      </w:r>
      <w:proofErr w:type="spellStart"/>
      <w:r>
        <w:rPr>
          <w:color w:val="000000"/>
          <w:szCs w:val="24"/>
          <w:lang w:val="es-ES"/>
        </w:rPr>
        <w:t>inmunomoduladoras</w:t>
      </w:r>
      <w:proofErr w:type="spellEnd"/>
      <w:r>
        <w:rPr>
          <w:color w:val="000000"/>
          <w:szCs w:val="24"/>
          <w:lang w:val="es-ES"/>
        </w:rPr>
        <w:t xml:space="preserve">, así que se han determinado éstas </w:t>
      </w:r>
      <w:r>
        <w:rPr>
          <w:i/>
          <w:szCs w:val="24"/>
          <w:lang w:val="es-ES"/>
        </w:rPr>
        <w:t>in vitro</w:t>
      </w:r>
      <w:r>
        <w:rPr>
          <w:szCs w:val="24"/>
          <w:lang w:val="es-ES"/>
        </w:rPr>
        <w:t xml:space="preserve"> para LNB y GNB, y para dos </w:t>
      </w:r>
      <w:proofErr w:type="spellStart"/>
      <w:r>
        <w:rPr>
          <w:szCs w:val="24"/>
          <w:lang w:val="es-ES"/>
        </w:rPr>
        <w:t>fucosiloligosacáridos</w:t>
      </w:r>
      <w:proofErr w:type="spellEnd"/>
      <w:r>
        <w:rPr>
          <w:szCs w:val="24"/>
          <w:lang w:val="es-ES"/>
        </w:rPr>
        <w:t xml:space="preserve"> (</w:t>
      </w:r>
      <w:proofErr w:type="spellStart"/>
      <w:r>
        <w:rPr>
          <w:rFonts w:cs="Helvetica"/>
          <w:bCs/>
          <w:color w:val="000000"/>
          <w:szCs w:val="18"/>
          <w:lang w:val="es-ES"/>
        </w:rPr>
        <w:t>Fuc</w:t>
      </w:r>
      <w:proofErr w:type="spellEnd"/>
      <w:r>
        <w:rPr>
          <w:rFonts w:cs="Helvetica"/>
          <w:bCs/>
          <w:color w:val="000000"/>
          <w:szCs w:val="18"/>
          <w:lang w:val="es-ES"/>
        </w:rPr>
        <w:t>-</w:t>
      </w:r>
      <w:r>
        <w:rPr>
          <w:bCs/>
          <w:color w:val="000000"/>
          <w:szCs w:val="18"/>
        </w:rPr>
        <w:t>α</w:t>
      </w:r>
      <w:r>
        <w:rPr>
          <w:rFonts w:cs="Helvetica"/>
          <w:bCs/>
          <w:color w:val="000000"/>
          <w:szCs w:val="18"/>
          <w:lang w:val="es-ES"/>
        </w:rPr>
        <w:t xml:space="preserve">-1,3-GlcNAc y </w:t>
      </w:r>
      <w:proofErr w:type="spellStart"/>
      <w:r>
        <w:rPr>
          <w:rFonts w:cs="Helvetica"/>
          <w:bCs/>
          <w:color w:val="000000"/>
          <w:szCs w:val="18"/>
          <w:lang w:val="es-ES"/>
        </w:rPr>
        <w:t>Fuc</w:t>
      </w:r>
      <w:proofErr w:type="spellEnd"/>
      <w:r>
        <w:rPr>
          <w:rFonts w:cs="Helvetica"/>
          <w:bCs/>
          <w:color w:val="000000"/>
          <w:szCs w:val="18"/>
          <w:lang w:val="es-ES"/>
        </w:rPr>
        <w:t>-</w:t>
      </w:r>
      <w:r>
        <w:rPr>
          <w:bCs/>
          <w:color w:val="000000"/>
          <w:szCs w:val="18"/>
        </w:rPr>
        <w:t>α</w:t>
      </w:r>
      <w:r>
        <w:rPr>
          <w:rFonts w:cs="Helvetica"/>
          <w:bCs/>
          <w:color w:val="000000"/>
          <w:szCs w:val="18"/>
          <w:lang w:val="es-ES"/>
        </w:rPr>
        <w:t>-1,6-GlcNAc)</w:t>
      </w:r>
      <w:r>
        <w:rPr>
          <w:szCs w:val="24"/>
          <w:lang w:val="es-ES"/>
        </w:rPr>
        <w:t xml:space="preserve"> sintetizados anteriormente en nuestro laboratorio. Se ha demostrado que los cuatro disacáridos son capaces de incrementar significativamente la producción de IFN-</w:t>
      </w:r>
      <w:r>
        <w:rPr>
          <w:szCs w:val="24"/>
        </w:rPr>
        <w:t>γ</w:t>
      </w:r>
      <w:r>
        <w:rPr>
          <w:szCs w:val="24"/>
          <w:lang w:val="es-ES"/>
        </w:rPr>
        <w:t xml:space="preserve"> en Células Mononucleares de Sangre Periférica (PBMC). E</w:t>
      </w:r>
      <w:r>
        <w:rPr>
          <w:rFonts w:cs="Helvetica"/>
          <w:bCs/>
          <w:color w:val="000000"/>
          <w:szCs w:val="18"/>
          <w:lang w:val="es-ES"/>
        </w:rPr>
        <w:t xml:space="preserve">l </w:t>
      </w:r>
      <w:proofErr w:type="spellStart"/>
      <w:r>
        <w:rPr>
          <w:rFonts w:cs="Helvetica"/>
          <w:bCs/>
          <w:color w:val="000000"/>
          <w:szCs w:val="18"/>
          <w:lang w:val="es-ES"/>
        </w:rPr>
        <w:t>Fuc</w:t>
      </w:r>
      <w:proofErr w:type="spellEnd"/>
      <w:r>
        <w:rPr>
          <w:rFonts w:cs="Helvetica"/>
          <w:bCs/>
          <w:color w:val="000000"/>
          <w:szCs w:val="18"/>
          <w:lang w:val="es-ES"/>
        </w:rPr>
        <w:t>-</w:t>
      </w:r>
      <w:r>
        <w:rPr>
          <w:rFonts w:ascii="Symbol" w:hAnsi="Symbol" w:cs="Helvetica"/>
          <w:bCs/>
          <w:color w:val="000000"/>
          <w:szCs w:val="18"/>
        </w:rPr>
        <w:t></w:t>
      </w:r>
      <w:r>
        <w:rPr>
          <w:rFonts w:cs="Helvetica"/>
          <w:bCs/>
          <w:color w:val="000000"/>
          <w:szCs w:val="18"/>
          <w:lang w:val="es-ES"/>
        </w:rPr>
        <w:t>-1,6-GlcNAc</w:t>
      </w:r>
      <w:r>
        <w:rPr>
          <w:szCs w:val="24"/>
          <w:lang w:val="es-ES"/>
        </w:rPr>
        <w:t xml:space="preserve"> además fue capaz de reducir significativamente la producción de IL13</w:t>
      </w:r>
      <w:r>
        <w:rPr>
          <w:rFonts w:cs="Helvetica"/>
          <w:bCs/>
          <w:color w:val="000000"/>
          <w:szCs w:val="18"/>
          <w:lang w:val="es-ES"/>
        </w:rPr>
        <w:t xml:space="preserve">. Estos resultados sugieren un efecto estimulante del sistema inmune y en el caso particular del </w:t>
      </w:r>
      <w:proofErr w:type="spellStart"/>
      <w:r>
        <w:rPr>
          <w:rFonts w:cs="Helvetica"/>
          <w:bCs/>
          <w:color w:val="000000"/>
          <w:szCs w:val="18"/>
          <w:lang w:val="es-ES"/>
        </w:rPr>
        <w:t>Fuc</w:t>
      </w:r>
      <w:proofErr w:type="spellEnd"/>
      <w:r>
        <w:rPr>
          <w:rFonts w:cs="Helvetica"/>
          <w:bCs/>
          <w:color w:val="000000"/>
          <w:szCs w:val="18"/>
          <w:lang w:val="es-ES"/>
        </w:rPr>
        <w:t>-α-1,6-GlcNAc un efecto polarizador de la respuesta inmune Th1/Th2 hacia poblaciones Th1.</w:t>
      </w:r>
    </w:p>
    <w:p w:rsidR="00863ECD" w:rsidRDefault="00863ECD" w:rsidP="00863ECD">
      <w:pPr>
        <w:spacing w:line="360" w:lineRule="auto"/>
        <w:ind w:firstLine="720"/>
        <w:rPr>
          <w:rFonts w:cs="Helvetica"/>
          <w:bCs/>
          <w:color w:val="000000"/>
          <w:szCs w:val="18"/>
          <w:lang w:val="es-ES"/>
        </w:rPr>
      </w:pPr>
      <w:r>
        <w:rPr>
          <w:rFonts w:cs="Helvetica"/>
          <w:bCs/>
          <w:color w:val="000000"/>
          <w:szCs w:val="18"/>
          <w:lang w:val="es-ES"/>
        </w:rPr>
        <w:t xml:space="preserve">Los resultados obtenidos en esta Tesis Doctoral han permitido ampliar los conocimientos sobre la síntesis, el metabolismo por especies del género </w:t>
      </w:r>
      <w:proofErr w:type="spellStart"/>
      <w:r>
        <w:rPr>
          <w:rFonts w:cs="Helvetica"/>
          <w:bCs/>
          <w:i/>
          <w:color w:val="000000"/>
          <w:szCs w:val="18"/>
          <w:lang w:val="es-ES"/>
        </w:rPr>
        <w:t>Lactobacillus</w:t>
      </w:r>
      <w:proofErr w:type="spellEnd"/>
      <w:r>
        <w:rPr>
          <w:rFonts w:cs="Helvetica"/>
          <w:bCs/>
          <w:color w:val="000000"/>
          <w:szCs w:val="18"/>
          <w:lang w:val="es-ES"/>
        </w:rPr>
        <w:t xml:space="preserve">, y las propiedades </w:t>
      </w:r>
      <w:proofErr w:type="spellStart"/>
      <w:r>
        <w:rPr>
          <w:rFonts w:cs="Helvetica"/>
          <w:bCs/>
          <w:color w:val="000000"/>
          <w:szCs w:val="18"/>
          <w:lang w:val="es-ES"/>
        </w:rPr>
        <w:t>inmunomoduladoras</w:t>
      </w:r>
      <w:proofErr w:type="spellEnd"/>
      <w:r>
        <w:rPr>
          <w:rFonts w:cs="Helvetica"/>
          <w:bCs/>
          <w:i/>
          <w:color w:val="000000"/>
          <w:szCs w:val="18"/>
          <w:lang w:val="es-ES"/>
        </w:rPr>
        <w:t xml:space="preserve"> </w:t>
      </w:r>
      <w:r>
        <w:rPr>
          <w:rFonts w:cs="Helvetica"/>
          <w:bCs/>
          <w:color w:val="000000"/>
          <w:szCs w:val="18"/>
          <w:lang w:val="es-ES"/>
        </w:rPr>
        <w:t>de oligosacáridos específicos presentes en la leche humana y en la mucosa. Esto podría contribuir a entender mejor la posible función de los OLH en la colonización por esas especies del tracto gastrointestinal de los niños, y en la estimulación de la respuesta inmune.</w:t>
      </w:r>
    </w:p>
    <w:p w:rsidR="00863ECD" w:rsidRDefault="00863ECD" w:rsidP="00863ECD">
      <w:pPr>
        <w:spacing w:line="360" w:lineRule="auto"/>
        <w:ind w:firstLine="720"/>
        <w:rPr>
          <w:rFonts w:cs="Helvetica"/>
          <w:bCs/>
          <w:color w:val="000000"/>
          <w:szCs w:val="18"/>
          <w:lang w:val="es-ES"/>
        </w:rPr>
      </w:pPr>
    </w:p>
    <w:p w:rsidR="003C578B" w:rsidRPr="00863ECD" w:rsidRDefault="003C578B" w:rsidP="00863ECD">
      <w:pPr>
        <w:rPr>
          <w:lang w:val="es-ES"/>
        </w:rPr>
      </w:pPr>
      <w:bookmarkStart w:id="0" w:name="_GoBack"/>
      <w:bookmarkEnd w:id="0"/>
    </w:p>
    <w:sectPr w:rsidR="003C578B" w:rsidRPr="00863E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2A"/>
    <w:rsid w:val="003C578B"/>
    <w:rsid w:val="00595634"/>
    <w:rsid w:val="00863ECD"/>
    <w:rsid w:val="00E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34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595634"/>
    <w:pPr>
      <w:spacing w:after="120"/>
      <w:ind w:left="360"/>
      <w:jc w:val="left"/>
    </w:pPr>
    <w:rPr>
      <w:rFonts w:eastAsia="Times New Roman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563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34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595634"/>
    <w:pPr>
      <w:spacing w:after="120"/>
      <w:ind w:left="360"/>
      <w:jc w:val="left"/>
    </w:pPr>
    <w:rPr>
      <w:rFonts w:eastAsia="Times New Roman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563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b06lactic1</dc:creator>
  <cp:lastModifiedBy>b06lactic1</cp:lastModifiedBy>
  <cp:revision>2</cp:revision>
  <dcterms:created xsi:type="dcterms:W3CDTF">2016-05-18T14:51:00Z</dcterms:created>
  <dcterms:modified xsi:type="dcterms:W3CDTF">2016-05-18T14:51:00Z</dcterms:modified>
</cp:coreProperties>
</file>