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NewRoman" w:eastAsiaTheme="minorHAnsi" w:hAnsi="TimesNewRoman" w:cs="Times New Roman"/>
          <w:b w:val="0"/>
          <w:bCs w:val="0"/>
          <w:sz w:val="24"/>
          <w:szCs w:val="24"/>
        </w:rPr>
        <w:id w:val="208615095"/>
        <w:docPartObj>
          <w:docPartGallery w:val="Table of Contents"/>
          <w:docPartUnique/>
        </w:docPartObj>
      </w:sdtPr>
      <w:sdtEndPr>
        <w:rPr>
          <w:rFonts w:cs="TimesNewRoman"/>
        </w:rPr>
      </w:sdtEndPr>
      <w:sdtContent>
        <w:p w:rsidR="00F4682C" w:rsidRPr="005659E6" w:rsidRDefault="00F4682C" w:rsidP="00F4682C">
          <w:pPr>
            <w:pStyle w:val="TtulodeTDC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ÍNDICE</w:t>
          </w:r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r w:rsidRPr="005659E6">
            <w:rPr>
              <w:caps/>
            </w:rPr>
            <w:fldChar w:fldCharType="begin"/>
          </w:r>
          <w:r w:rsidRPr="0065287B">
            <w:instrText xml:space="preserve"> TOC \o "1-3" \h \z \u </w:instrText>
          </w:r>
          <w:r w:rsidRPr="005659E6">
            <w:rPr>
              <w:caps/>
            </w:rPr>
            <w:fldChar w:fldCharType="separate"/>
          </w:r>
          <w:hyperlink w:anchor="_Toc475369365" w:history="1">
            <w:r w:rsidRPr="00A3669C">
              <w:rPr>
                <w:rStyle w:val="Hipervnculo"/>
              </w:rPr>
              <w:t>1.</w:t>
            </w:r>
            <w:r w:rsidRPr="00A3669C">
              <w:rPr>
                <w:rFonts w:eastAsiaTheme="minorEastAsia"/>
                <w:caps/>
                <w:lang w:eastAsia="es-ES"/>
              </w:rPr>
              <w:tab/>
            </w:r>
            <w:r w:rsidRPr="00A3669C">
              <w:rPr>
                <w:rStyle w:val="Hipervnculo"/>
              </w:rPr>
              <w:t>INTRODUCCIÓN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_Toc475369365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hyperlink w:anchor="_Toc475369366" w:history="1">
            <w:r w:rsidRPr="00A3669C">
              <w:rPr>
                <w:rStyle w:val="Hipervnculo"/>
              </w:rPr>
              <w:t>2. ADQUISICIÓN DE SEGUNDAS LENGUAS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_Toc475369366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67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 xml:space="preserve">2.1 </w:t>
            </w:r>
            <w:r w:rsidRPr="00A3669C">
              <w:rPr>
                <w:rStyle w:val="Hipervnculo"/>
                <w:rFonts w:eastAsiaTheme="majorEastAsia"/>
                <w:b w:val="0"/>
                <w:noProof/>
                <w:lang w:val="es-ES_tradnl"/>
              </w:rPr>
              <w:t>Enfoques en el aprendizaje de segundas lenguas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_Toc475369367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22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68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2.2 Diferencias individuales en el aprendizaje de segundas lenguas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_Toc475369368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29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69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2.3 Segundas lenguas en el aula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_Toc475369369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38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70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2.4 La interlengua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_Toc475369370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44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71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2.5 La escritura en segundas lenguas: teorías, definición y orígenes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_Toc475369371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57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72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2.6 Orientaciones pedagógicas en la enseñanza de la escritura en segundas lenguas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_Toc475369372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62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hyperlink w:anchor="_Toc475369373" w:history="1">
            <w:r w:rsidRPr="00A3669C">
              <w:rPr>
                <w:rStyle w:val="Hipervnculo"/>
              </w:rPr>
              <w:t>3.</w:t>
            </w:r>
            <w:r w:rsidRPr="00A3669C">
              <w:rPr>
                <w:rStyle w:val="Hipervnculo"/>
                <w:rFonts w:eastAsiaTheme="majorEastAsia"/>
              </w:rPr>
              <w:t xml:space="preserve"> EL MARCO COMÚN EUROPEO DE REFERENCIA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_Toc475369373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74" w:history="1">
            <w:r w:rsidRPr="00A3669C">
              <w:rPr>
                <w:rStyle w:val="Hipervnculo"/>
                <w:b w:val="0"/>
                <w:noProof/>
                <w:lang w:val="es-ES_tradnl"/>
              </w:rPr>
              <w:t>3.1</w:t>
            </w:r>
            <w:r w:rsidRPr="00A3669C">
              <w:rPr>
                <w:rFonts w:eastAsiaTheme="minorEastAsia"/>
                <w:b w:val="0"/>
                <w:noProof/>
                <w:lang w:eastAsia="es-ES"/>
              </w:rPr>
              <w:tab/>
            </w:r>
            <w:r w:rsidRPr="00A3669C">
              <w:rPr>
                <w:rStyle w:val="Hipervnculo"/>
                <w:b w:val="0"/>
                <w:noProof/>
                <w:lang w:val="es-ES_tradnl"/>
              </w:rPr>
              <w:t>Los descriptores de referencia específicos del inglés como segunda lengua o lengua extranjera y el proyecto English Profile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_Toc475369374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84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hyperlink w:anchor="_Toc475369375" w:history="1">
            <w:r w:rsidRPr="00A3669C">
              <w:rPr>
                <w:rStyle w:val="Hipervnculo"/>
              </w:rPr>
              <w:t>4.</w:t>
            </w:r>
            <w:r w:rsidRPr="00A3669C">
              <w:rPr>
                <w:rFonts w:eastAsiaTheme="minorEastAsia"/>
                <w:caps/>
                <w:lang w:eastAsia="es-ES"/>
              </w:rPr>
              <w:tab/>
            </w:r>
            <w:r w:rsidRPr="00A3669C">
              <w:rPr>
                <w:rStyle w:val="Hipervnculo"/>
              </w:rPr>
              <w:t>LA GRAMÁTICA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_Toc475369375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91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76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4.1 La competencia gramatical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_Toc475369376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94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77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4.2 Adquisición y enseñanza de la gramática de una segunda lengua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_Toc475369377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102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hyperlink w:anchor="_Toc475369378" w:history="1">
            <w:r w:rsidRPr="00A3669C">
              <w:rPr>
                <w:rStyle w:val="Hipervnculo"/>
              </w:rPr>
              <w:t>5.</w:t>
            </w:r>
            <w:r w:rsidRPr="00A3669C">
              <w:rPr>
                <w:rFonts w:eastAsiaTheme="minorEastAsia"/>
                <w:caps/>
                <w:lang w:eastAsia="es-ES"/>
              </w:rPr>
              <w:tab/>
            </w:r>
            <w:r w:rsidRPr="00A3669C">
              <w:rPr>
                <w:rStyle w:val="Hipervnculo"/>
              </w:rPr>
              <w:t>EL METADISCURSO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_Toc475369378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115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79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5.1 Modelos de clasificación de elementos metadiscursivos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_Toc475369379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125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80" w:history="1">
            <w:r w:rsidRPr="00A3669C">
              <w:rPr>
                <w:rStyle w:val="Hipervnculo"/>
                <w:rFonts w:eastAsia="Times New Roman"/>
                <w:b w:val="0"/>
                <w:noProof/>
                <w:lang w:val="es-ES_tradnl"/>
              </w:rPr>
              <w:t>5.2 Adquisición y enseñanza del metadiscurso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_Toc475369380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135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hyperlink w:anchor="_Toc475369381" w:history="1">
            <w:r w:rsidRPr="00A3669C">
              <w:rPr>
                <w:rStyle w:val="Hipervnculo"/>
              </w:rPr>
              <w:t>6.</w:t>
            </w:r>
            <w:r w:rsidRPr="00A3669C">
              <w:rPr>
                <w:rFonts w:eastAsiaTheme="minorEastAsia"/>
                <w:caps/>
                <w:lang w:eastAsia="es-ES"/>
              </w:rPr>
              <w:tab/>
            </w:r>
            <w:r w:rsidRPr="00A3669C">
              <w:rPr>
                <w:rStyle w:val="Hipervnculo"/>
              </w:rPr>
              <w:t>METODOLOGÍA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_Toc475369381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147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82" w:history="1">
            <w:r w:rsidRPr="00A3669C">
              <w:rPr>
                <w:rStyle w:val="Hipervnculo"/>
                <w:b w:val="0"/>
                <w:noProof/>
                <w:lang w:val="es-ES_tradnl"/>
              </w:rPr>
              <w:t>6.1 La investigación-acción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_Toc475369382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149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83" w:history="1">
            <w:r w:rsidRPr="00A3669C">
              <w:rPr>
                <w:rStyle w:val="Hipervnculo"/>
                <w:b w:val="0"/>
                <w:noProof/>
                <w:lang w:val="es-ES_tradnl"/>
              </w:rPr>
              <w:t>6.2 La lingüística de corpus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_Toc475369383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151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84" w:history="1">
            <w:r w:rsidRPr="00A3669C">
              <w:rPr>
                <w:rStyle w:val="Hipervnculo"/>
                <w:b w:val="0"/>
                <w:noProof/>
                <w:lang w:val="es-ES_tradnl"/>
              </w:rPr>
              <w:t>6.3 Los corpus de aprendientes de lenguas extranjeras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_Toc475369384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155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85" w:history="1">
            <w:r w:rsidRPr="00A3669C">
              <w:rPr>
                <w:rStyle w:val="Hipervnculo"/>
                <w:b w:val="0"/>
                <w:noProof/>
                <w:lang w:val="es-ES_tradnl"/>
              </w:rPr>
              <w:t>6.4 Descripción del corpus de estudiantes recopilado en esta tesis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_Toc475369385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160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86" w:history="1">
            <w:r w:rsidRPr="00A3669C">
              <w:rPr>
                <w:rStyle w:val="Hipervnculo"/>
                <w:b w:val="0"/>
                <w:noProof/>
                <w:lang w:val="es-ES_tradnl"/>
              </w:rPr>
              <w:t>6.5 Descripción del método utilizado en el procesamiento y análisis de los datos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_Toc475369386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162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87" w:history="1">
            <w:r w:rsidRPr="00A3669C">
              <w:rPr>
                <w:rStyle w:val="Hipervnculo"/>
                <w:b w:val="0"/>
                <w:noProof/>
                <w:lang w:val="es-ES_tradnl"/>
              </w:rPr>
              <w:t>6.6 Descripción de las etapas seguidas en esta investigación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_Toc475369387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178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hyperlink w:anchor="_Toc475369388" w:history="1">
            <w:r w:rsidRPr="00A3669C">
              <w:rPr>
                <w:rStyle w:val="Hipervnculo"/>
              </w:rPr>
              <w:t>7.</w:t>
            </w:r>
            <w:r w:rsidRPr="00A3669C">
              <w:rPr>
                <w:rFonts w:eastAsiaTheme="minorEastAsia"/>
                <w:caps/>
                <w:lang w:eastAsia="es-ES"/>
              </w:rPr>
              <w:tab/>
            </w:r>
            <w:r w:rsidRPr="00A3669C">
              <w:rPr>
                <w:rStyle w:val="Hipervnculo"/>
              </w:rPr>
              <w:t>RESULTADOS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_Toc475369388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189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89" w:history="1">
            <w:r w:rsidRPr="00A3669C">
              <w:rPr>
                <w:rStyle w:val="Hipervnculo"/>
                <w:b w:val="0"/>
                <w:noProof/>
                <w:lang w:val="es-ES_tradnl"/>
              </w:rPr>
              <w:t>7.1 Resultados del análisis de la competencia gramatical (morfológica y sintáctica) en los niveles B2 y C1 del MCER (2001)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_Toc475369389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191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S"/>
            </w:rPr>
          </w:pPr>
          <w:hyperlink w:anchor="_Toc475369390" w:history="1">
            <w:r w:rsidRPr="00A3669C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_tradnl"/>
              </w:rPr>
              <w:t>7.1.1 Sintagma Nominal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_Toc475369390 \h </w:instrTex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196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S"/>
            </w:rPr>
          </w:pPr>
          <w:hyperlink w:anchor="_Toc475369391" w:history="1">
            <w:r w:rsidRPr="00A3669C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_tradnl"/>
              </w:rPr>
              <w:t>7.1.2 Sintagma Adjetival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_Toc475369391 \h </w:instrTex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207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S"/>
            </w:rPr>
          </w:pPr>
          <w:hyperlink w:anchor="_Toc475369392" w:history="1">
            <w:r w:rsidRPr="00A3669C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_tradnl"/>
              </w:rPr>
              <w:t>7.1.3 Sintagma Verbal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_Toc475369392 \h </w:instrTex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217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S"/>
            </w:rPr>
          </w:pPr>
          <w:hyperlink w:anchor="_Toc475369393" w:history="1">
            <w:r w:rsidRPr="00A3669C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_tradnl"/>
              </w:rPr>
              <w:t>7.1.4 Sintagma Adverbial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_Toc475369393 \h </w:instrTex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225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S"/>
            </w:rPr>
          </w:pPr>
          <w:hyperlink w:anchor="_Toc475369394" w:history="1">
            <w:r w:rsidRPr="00A3669C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_tradnl"/>
              </w:rPr>
              <w:t>7.1.5 Sintagma Preposicional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_Toc475369394 \h </w:instrTex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232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95" w:history="1">
            <w:r w:rsidRPr="00A3669C">
              <w:rPr>
                <w:rStyle w:val="Hipervnculo"/>
                <w:b w:val="0"/>
                <w:noProof/>
                <w:lang w:val="es-ES_tradnl"/>
              </w:rPr>
              <w:t>7.2 Resultados del análisis del uso de las estrategias metadiscursivas en los niveles B2 y C1 del MCER (2001).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_Toc475369395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238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S"/>
            </w:rPr>
          </w:pPr>
          <w:hyperlink w:anchor="_Toc475369396" w:history="1">
            <w:r w:rsidRPr="00A3669C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_tradnl"/>
              </w:rPr>
              <w:t>7.2.1 Resultados de las subcategorías textuales e interpersonales en el nivel B2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_Toc475369396 \h </w:instrTex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247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3"/>
            <w:tabs>
              <w:tab w:val="right" w:leader="dot" w:pos="88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S"/>
            </w:rPr>
          </w:pPr>
          <w:hyperlink w:anchor="_Toc475369397" w:history="1">
            <w:r w:rsidRPr="00A3669C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_tradnl"/>
              </w:rPr>
              <w:t>7.2.2 Resultados de las sub-categorías textuales e interpersonales en el nivel C1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_Toc475369397 \h </w:instrTex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257</w:t>
            </w:r>
            <w:r w:rsidRPr="00A366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2"/>
            <w:rPr>
              <w:rFonts w:eastAsiaTheme="minorEastAsia"/>
              <w:b w:val="0"/>
              <w:noProof/>
              <w:lang w:eastAsia="es-ES"/>
            </w:rPr>
          </w:pPr>
          <w:hyperlink w:anchor="_Toc475369398" w:history="1">
            <w:r w:rsidRPr="00A3669C">
              <w:rPr>
                <w:rStyle w:val="Hipervnculo"/>
                <w:b w:val="0"/>
                <w:noProof/>
                <w:lang w:val="es-ES_tradnl"/>
              </w:rPr>
              <w:t>7.3 Resumen de los resultados globales del análisis de la competencia gramatical y metadiscursivas en los niveles B2 y C1 del MCER</w:t>
            </w:r>
            <w:r w:rsidRPr="00A3669C">
              <w:rPr>
                <w:b w:val="0"/>
                <w:noProof/>
                <w:webHidden/>
              </w:rPr>
              <w:tab/>
            </w:r>
            <w:r w:rsidRPr="00A3669C">
              <w:rPr>
                <w:b w:val="0"/>
                <w:noProof/>
                <w:webHidden/>
              </w:rPr>
              <w:fldChar w:fldCharType="begin"/>
            </w:r>
            <w:r w:rsidRPr="00A3669C">
              <w:rPr>
                <w:b w:val="0"/>
                <w:noProof/>
                <w:webHidden/>
              </w:rPr>
              <w:instrText xml:space="preserve"> PAGEREF _Toc475369398 \h </w:instrText>
            </w:r>
            <w:r w:rsidRPr="00A3669C">
              <w:rPr>
                <w:b w:val="0"/>
                <w:noProof/>
                <w:webHidden/>
              </w:rPr>
            </w:r>
            <w:r w:rsidRPr="00A3669C">
              <w:rPr>
                <w:b w:val="0"/>
                <w:noProof/>
                <w:webHidden/>
              </w:rPr>
              <w:fldChar w:fldCharType="separate"/>
            </w:r>
            <w:r>
              <w:rPr>
                <w:b w:val="0"/>
                <w:noProof/>
                <w:webHidden/>
              </w:rPr>
              <w:t>270</w:t>
            </w:r>
            <w:r w:rsidRPr="00A3669C">
              <w:rPr>
                <w:b w:val="0"/>
                <w:noProof/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hyperlink w:anchor="_Toc475369399" w:history="1">
            <w:r w:rsidRPr="00A3669C">
              <w:rPr>
                <w:rStyle w:val="Hipervnculo"/>
              </w:rPr>
              <w:t>8.</w:t>
            </w:r>
            <w:r w:rsidRPr="00A3669C">
              <w:rPr>
                <w:rFonts w:eastAsiaTheme="minorEastAsia"/>
                <w:caps/>
                <w:lang w:eastAsia="es-ES"/>
              </w:rPr>
              <w:tab/>
            </w:r>
            <w:r w:rsidRPr="00A3669C">
              <w:rPr>
                <w:rStyle w:val="Hipervnculo"/>
              </w:rPr>
              <w:t>CONCLUSIONES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_Toc475369399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277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A3669C" w:rsidRDefault="00F4682C" w:rsidP="00F4682C">
          <w:pPr>
            <w:pStyle w:val="TDC1"/>
            <w:rPr>
              <w:rFonts w:eastAsiaTheme="minorEastAsia"/>
              <w:caps/>
              <w:lang w:eastAsia="es-ES"/>
            </w:rPr>
          </w:pPr>
          <w:hyperlink w:anchor="_Toc475369400" w:history="1">
            <w:r w:rsidRPr="00A3669C">
              <w:rPr>
                <w:rStyle w:val="Hipervnculo"/>
              </w:rPr>
              <w:t>BIBLIOGRAFÍA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_Toc475369400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295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Pr="005659E6" w:rsidRDefault="00F4682C" w:rsidP="00F4682C">
          <w:pPr>
            <w:pStyle w:val="TDC1"/>
            <w:rPr>
              <w:rFonts w:eastAsiaTheme="minorEastAsia"/>
              <w:b/>
              <w:caps/>
              <w:lang w:eastAsia="es-ES"/>
            </w:rPr>
          </w:pPr>
          <w:hyperlink w:anchor="_Toc475369401" w:history="1">
            <w:r w:rsidRPr="00A3669C">
              <w:rPr>
                <w:rStyle w:val="Hipervnculo"/>
              </w:rPr>
              <w:t>ANEXOS</w:t>
            </w:r>
            <w:r w:rsidRPr="00A3669C">
              <w:rPr>
                <w:webHidden/>
              </w:rPr>
              <w:tab/>
            </w:r>
            <w:r w:rsidRPr="00A3669C">
              <w:rPr>
                <w:webHidden/>
              </w:rPr>
              <w:fldChar w:fldCharType="begin"/>
            </w:r>
            <w:r w:rsidRPr="00A3669C">
              <w:rPr>
                <w:webHidden/>
              </w:rPr>
              <w:instrText xml:space="preserve"> PAGEREF _Toc475369401 \h </w:instrText>
            </w:r>
            <w:r w:rsidRPr="00A3669C">
              <w:rPr>
                <w:webHidden/>
              </w:rPr>
            </w:r>
            <w:r w:rsidRPr="00A3669C">
              <w:rPr>
                <w:webHidden/>
              </w:rPr>
              <w:fldChar w:fldCharType="separate"/>
            </w:r>
            <w:r>
              <w:rPr>
                <w:webHidden/>
              </w:rPr>
              <w:t>329</w:t>
            </w:r>
            <w:r w:rsidRPr="00A3669C">
              <w:rPr>
                <w:webHidden/>
              </w:rPr>
              <w:fldChar w:fldCharType="end"/>
            </w:r>
          </w:hyperlink>
        </w:p>
        <w:p w:rsidR="00F4682C" w:rsidRDefault="00F4682C" w:rsidP="00F4682C">
          <w:r w:rsidRPr="005659E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F4682C" w:rsidRPr="005659E6" w:rsidRDefault="00F4682C" w:rsidP="00F4682C">
      <w:pPr>
        <w:pStyle w:val="Ttulo1"/>
        <w:spacing w:before="0"/>
        <w:rPr>
          <w:rFonts w:eastAsia="Times New Roman" w:cs="Times New Roman"/>
          <w:lang w:val="es-ES_tradnl"/>
        </w:rPr>
      </w:pPr>
    </w:p>
    <w:p w:rsidR="00BC148A" w:rsidRDefault="00BC148A">
      <w:bookmarkStart w:id="0" w:name="_GoBack"/>
      <w:bookmarkEnd w:id="0"/>
    </w:p>
    <w:sectPr w:rsidR="00BC1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2C"/>
    <w:rsid w:val="005F13F4"/>
    <w:rsid w:val="00AD16D6"/>
    <w:rsid w:val="00BC148A"/>
    <w:rsid w:val="00F4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2C"/>
    <w:pPr>
      <w:autoSpaceDE w:val="0"/>
      <w:autoSpaceDN w:val="0"/>
      <w:adjustRightInd w:val="0"/>
      <w:spacing w:before="120" w:after="0" w:line="360" w:lineRule="auto"/>
      <w:contextualSpacing/>
      <w:jc w:val="both"/>
    </w:pPr>
    <w:rPr>
      <w:rFonts w:ascii="TimesNewRoman" w:hAnsi="TimesNewRoman" w:cs="TimesNew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4682C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82C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F4682C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F4682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F4682C"/>
    <w:pPr>
      <w:tabs>
        <w:tab w:val="left" w:pos="284"/>
        <w:tab w:val="right" w:leader="dot" w:pos="8828"/>
      </w:tabs>
      <w:spacing w:before="360"/>
      <w:ind w:left="284" w:hanging="284"/>
    </w:pPr>
    <w:rPr>
      <w:rFonts w:ascii="Times New Roman" w:eastAsia="Times New Roman" w:hAnsi="Times New Roman" w:cs="Times New Roman"/>
      <w:bCs/>
      <w:noProof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4682C"/>
    <w:pPr>
      <w:spacing w:before="0"/>
      <w:ind w:left="240"/>
      <w:jc w:val="left"/>
    </w:pPr>
    <w:rPr>
      <w:rFonts w:asciiTheme="minorHAnsi" w:hAnsiTheme="minorHAnsi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4682C"/>
    <w:pPr>
      <w:tabs>
        <w:tab w:val="right" w:leader="dot" w:pos="8828"/>
      </w:tabs>
      <w:spacing w:before="240"/>
      <w:jc w:val="left"/>
    </w:pPr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8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2C"/>
    <w:pPr>
      <w:autoSpaceDE w:val="0"/>
      <w:autoSpaceDN w:val="0"/>
      <w:adjustRightInd w:val="0"/>
      <w:spacing w:before="120" w:after="0" w:line="360" w:lineRule="auto"/>
      <w:contextualSpacing/>
      <w:jc w:val="both"/>
    </w:pPr>
    <w:rPr>
      <w:rFonts w:ascii="TimesNewRoman" w:hAnsi="TimesNewRoman" w:cs="TimesNew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4682C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82C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F4682C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F4682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F4682C"/>
    <w:pPr>
      <w:tabs>
        <w:tab w:val="left" w:pos="284"/>
        <w:tab w:val="right" w:leader="dot" w:pos="8828"/>
      </w:tabs>
      <w:spacing w:before="360"/>
      <w:ind w:left="284" w:hanging="284"/>
    </w:pPr>
    <w:rPr>
      <w:rFonts w:ascii="Times New Roman" w:eastAsia="Times New Roman" w:hAnsi="Times New Roman" w:cs="Times New Roman"/>
      <w:bCs/>
      <w:noProof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4682C"/>
    <w:pPr>
      <w:spacing w:before="0"/>
      <w:ind w:left="240"/>
      <w:jc w:val="left"/>
    </w:pPr>
    <w:rPr>
      <w:rFonts w:asciiTheme="minorHAnsi" w:hAnsiTheme="minorHAnsi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4682C"/>
    <w:pPr>
      <w:tabs>
        <w:tab w:val="right" w:leader="dot" w:pos="8828"/>
      </w:tabs>
      <w:spacing w:before="240"/>
      <w:jc w:val="left"/>
    </w:pPr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82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TASSO</dc:creator>
  <cp:lastModifiedBy>CHIARA TASSO  </cp:lastModifiedBy>
  <cp:revision>1</cp:revision>
  <dcterms:created xsi:type="dcterms:W3CDTF">2017-03-21T12:43:00Z</dcterms:created>
  <dcterms:modified xsi:type="dcterms:W3CDTF">2017-03-21T12:44:00Z</dcterms:modified>
</cp:coreProperties>
</file>