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84" w:rsidRPr="00676BC3" w:rsidRDefault="007E3384" w:rsidP="007E3384">
      <w:pPr>
        <w:jc w:val="center"/>
        <w:rPr>
          <w:rFonts w:ascii="Times New Roman" w:hAnsi="Times New Roman"/>
          <w:b/>
          <w:sz w:val="24"/>
          <w:szCs w:val="24"/>
          <w:lang w:val="es-ES"/>
        </w:rPr>
      </w:pPr>
      <w:r w:rsidRPr="00676BC3">
        <w:rPr>
          <w:rFonts w:ascii="Times New Roman" w:hAnsi="Times New Roman"/>
          <w:b/>
          <w:sz w:val="24"/>
          <w:szCs w:val="24"/>
          <w:lang w:val="es-ES"/>
        </w:rPr>
        <w:t>Resumen</w:t>
      </w:r>
    </w:p>
    <w:p w:rsidR="007E3384" w:rsidRPr="00274152" w:rsidRDefault="007E3384" w:rsidP="007E3384">
      <w:pPr>
        <w:spacing w:line="480" w:lineRule="auto"/>
        <w:ind w:firstLine="708"/>
        <w:jc w:val="both"/>
        <w:rPr>
          <w:rFonts w:ascii="Times New Roman" w:hAnsi="Times New Roman"/>
          <w:sz w:val="24"/>
          <w:szCs w:val="24"/>
          <w:lang w:val="es-ES"/>
        </w:rPr>
      </w:pPr>
      <w:r w:rsidRPr="00274152">
        <w:rPr>
          <w:rFonts w:ascii="Times New Roman" w:hAnsi="Times New Roman"/>
          <w:sz w:val="24"/>
          <w:szCs w:val="24"/>
          <w:lang w:val="es-ES"/>
        </w:rPr>
        <w:t xml:space="preserve">En los últimos años, el aumento del comercio mundial de plantas y el movimiento humano ha promovido el riesgo de introducción de plantas invasoras y patógenos exóticos. Las invasiones biológicas operan a nivel mundial y se consideran como la segunda causa de pérdida de biodiversidad después de la alteración y destrucción directas del hábitat. En este contexto, </w:t>
      </w:r>
      <w:r w:rsidRPr="00274152">
        <w:rPr>
          <w:rFonts w:ascii="Times New Roman" w:hAnsi="Times New Roman"/>
          <w:i/>
          <w:sz w:val="24"/>
          <w:szCs w:val="24"/>
          <w:lang w:val="es-ES"/>
        </w:rPr>
        <w:t>Phytophthora</w:t>
      </w:r>
      <w:r w:rsidRPr="00274152">
        <w:rPr>
          <w:rFonts w:ascii="Times New Roman" w:hAnsi="Times New Roman"/>
          <w:sz w:val="24"/>
          <w:szCs w:val="24"/>
          <w:lang w:val="es-ES"/>
        </w:rPr>
        <w:t xml:space="preserve"> es uno de los patógenos vegetales más importantes y agresivos en la agricultura y la silvicultura. La detección temprana y la identificación de sus vías son de gran importancia para minimizar la amenaza que representan para los ecosistemas naturales. Se han desarrollado y aplicado diferentes métodos moleculares para la detección de patógenos de plantas en muestras ambientales. Estos métodos permiten una detección e ide</w:t>
      </w:r>
      <w:r>
        <w:rPr>
          <w:rFonts w:ascii="Times New Roman" w:hAnsi="Times New Roman"/>
          <w:sz w:val="24"/>
          <w:szCs w:val="24"/>
          <w:lang w:val="es-ES"/>
        </w:rPr>
        <w:t>ntificación de patógenos rápida y precisa</w:t>
      </w:r>
      <w:r w:rsidRPr="00274152">
        <w:rPr>
          <w:rFonts w:ascii="Times New Roman" w:hAnsi="Times New Roman"/>
          <w:sz w:val="24"/>
          <w:szCs w:val="24"/>
          <w:lang w:val="es-ES"/>
        </w:rPr>
        <w:t xml:space="preserve"> incluso cuando la cantidad de inóculo es baja. Por lo tanto, se propone un nuevo método mejorado para su detección en muestras ambientales a partir de la extracción de ADN ambiental (eDNA) de diferentes fuentes (suelo, raíces y agua) y diferentes ecosistemas.</w:t>
      </w:r>
    </w:p>
    <w:p w:rsidR="007E3384" w:rsidRPr="00274152" w:rsidRDefault="007E3384" w:rsidP="007E3384">
      <w:pPr>
        <w:spacing w:line="480" w:lineRule="auto"/>
        <w:ind w:firstLine="708"/>
        <w:jc w:val="both"/>
        <w:rPr>
          <w:rFonts w:ascii="Times New Roman" w:hAnsi="Times New Roman"/>
          <w:sz w:val="24"/>
          <w:szCs w:val="24"/>
          <w:lang w:val="es-ES"/>
        </w:rPr>
      </w:pPr>
      <w:r w:rsidRPr="00274152">
        <w:rPr>
          <w:rFonts w:ascii="Times New Roman" w:hAnsi="Times New Roman"/>
          <w:sz w:val="24"/>
          <w:szCs w:val="24"/>
          <w:lang w:val="es-ES"/>
        </w:rPr>
        <w:t>El objetivo del primer capítulo fue aplicar HTS (</w:t>
      </w:r>
      <w:r w:rsidRPr="00274152">
        <w:rPr>
          <w:rFonts w:ascii="Times New Roman" w:hAnsi="Times New Roman"/>
          <w:i/>
          <w:sz w:val="24"/>
          <w:szCs w:val="24"/>
          <w:lang w:val="es-ES"/>
        </w:rPr>
        <w:t>High Throughput Sequencing</w:t>
      </w:r>
      <w:r w:rsidRPr="00274152">
        <w:rPr>
          <w:rFonts w:ascii="Times New Roman" w:hAnsi="Times New Roman"/>
          <w:sz w:val="24"/>
          <w:szCs w:val="24"/>
          <w:lang w:val="es-ES"/>
        </w:rPr>
        <w:t xml:space="preserve">) para investigar la presencia de </w:t>
      </w:r>
      <w:r w:rsidRPr="00274152">
        <w:rPr>
          <w:rFonts w:ascii="Times New Roman" w:hAnsi="Times New Roman"/>
          <w:i/>
          <w:sz w:val="24"/>
          <w:szCs w:val="24"/>
          <w:lang w:val="es-ES"/>
        </w:rPr>
        <w:t>Phytophthora</w:t>
      </w:r>
      <w:r w:rsidRPr="00274152">
        <w:rPr>
          <w:rFonts w:ascii="Times New Roman" w:hAnsi="Times New Roman"/>
          <w:sz w:val="24"/>
          <w:szCs w:val="24"/>
          <w:lang w:val="es-ES"/>
        </w:rPr>
        <w:t xml:space="preserve"> en diferentes comunidades de plantas en bosques naturales, plantaciones y ambientes acuáticos en el norte de España. El eDNA se extrajo del suelo y del agua de los ríos y arroyos de los bosques de </w:t>
      </w:r>
      <w:r w:rsidRPr="00274152">
        <w:rPr>
          <w:rFonts w:ascii="Times New Roman" w:hAnsi="Times New Roman"/>
          <w:i/>
          <w:sz w:val="24"/>
          <w:szCs w:val="24"/>
          <w:lang w:val="es-ES"/>
        </w:rPr>
        <w:t>Fagus sylvatica</w:t>
      </w:r>
      <w:r w:rsidRPr="00274152">
        <w:rPr>
          <w:rFonts w:ascii="Times New Roman" w:hAnsi="Times New Roman"/>
          <w:sz w:val="24"/>
          <w:szCs w:val="24"/>
          <w:lang w:val="es-ES"/>
        </w:rPr>
        <w:t xml:space="preserve"> y </w:t>
      </w:r>
      <w:r w:rsidRPr="00274152">
        <w:rPr>
          <w:rFonts w:ascii="Times New Roman" w:hAnsi="Times New Roman"/>
          <w:i/>
          <w:sz w:val="24"/>
          <w:szCs w:val="24"/>
          <w:lang w:val="es-ES"/>
        </w:rPr>
        <w:t>Abies alba</w:t>
      </w:r>
      <w:r w:rsidRPr="00274152">
        <w:rPr>
          <w:rFonts w:ascii="Times New Roman" w:hAnsi="Times New Roman"/>
          <w:sz w:val="24"/>
          <w:szCs w:val="24"/>
          <w:lang w:val="es-ES"/>
        </w:rPr>
        <w:t xml:space="preserve"> y de</w:t>
      </w:r>
      <w:r>
        <w:rPr>
          <w:rFonts w:ascii="Times New Roman" w:hAnsi="Times New Roman"/>
          <w:sz w:val="24"/>
          <w:szCs w:val="24"/>
          <w:lang w:val="es-ES"/>
        </w:rPr>
        <w:t xml:space="preserve"> plantaciones de</w:t>
      </w:r>
      <w:r w:rsidRPr="00274152">
        <w:rPr>
          <w:rFonts w:ascii="Times New Roman" w:hAnsi="Times New Roman"/>
          <w:sz w:val="24"/>
          <w:szCs w:val="24"/>
          <w:lang w:val="es-ES"/>
        </w:rPr>
        <w:t xml:space="preserve"> </w:t>
      </w:r>
      <w:r w:rsidRPr="00274152">
        <w:rPr>
          <w:rFonts w:ascii="Times New Roman" w:hAnsi="Times New Roman"/>
          <w:i/>
          <w:sz w:val="24"/>
          <w:szCs w:val="24"/>
          <w:lang w:val="es-ES"/>
        </w:rPr>
        <w:t>Chamaecyparis lawsoniana</w:t>
      </w:r>
      <w:r w:rsidRPr="00274152">
        <w:rPr>
          <w:rFonts w:ascii="Times New Roman" w:hAnsi="Times New Roman"/>
          <w:sz w:val="24"/>
          <w:szCs w:val="24"/>
          <w:lang w:val="es-ES"/>
        </w:rPr>
        <w:t xml:space="preserve"> y </w:t>
      </w:r>
      <w:r w:rsidRPr="00274152">
        <w:rPr>
          <w:rFonts w:ascii="Times New Roman" w:hAnsi="Times New Roman"/>
          <w:i/>
          <w:sz w:val="24"/>
          <w:szCs w:val="24"/>
          <w:lang w:val="es-ES"/>
        </w:rPr>
        <w:t>Pseudotsuga menziesii</w:t>
      </w:r>
      <w:r w:rsidRPr="00274152">
        <w:rPr>
          <w:rFonts w:ascii="Times New Roman" w:hAnsi="Times New Roman"/>
          <w:sz w:val="24"/>
          <w:szCs w:val="24"/>
          <w:lang w:val="es-ES"/>
        </w:rPr>
        <w:t xml:space="preserve"> en el norte de España (bosque de Irati y Villanúa). </w:t>
      </w:r>
      <w:r w:rsidRPr="00E82D31">
        <w:rPr>
          <w:rFonts w:ascii="Times New Roman" w:hAnsi="Times New Roman"/>
          <w:sz w:val="24"/>
          <w:szCs w:val="24"/>
          <w:lang w:val="es-ES"/>
        </w:rPr>
        <w:t xml:space="preserve">Se diseñó y aplicó un ensayo </w:t>
      </w:r>
      <w:r>
        <w:rPr>
          <w:rFonts w:ascii="Times New Roman" w:hAnsi="Times New Roman"/>
          <w:sz w:val="24"/>
          <w:szCs w:val="24"/>
          <w:lang w:val="es-ES"/>
        </w:rPr>
        <w:t>especí</w:t>
      </w:r>
      <w:r w:rsidRPr="00E82D31">
        <w:rPr>
          <w:rFonts w:ascii="Times New Roman" w:hAnsi="Times New Roman"/>
          <w:sz w:val="24"/>
          <w:szCs w:val="24"/>
          <w:lang w:val="es-ES"/>
        </w:rPr>
        <w:t>fico para la detecci</w:t>
      </w:r>
      <w:r>
        <w:rPr>
          <w:rFonts w:ascii="Times New Roman" w:hAnsi="Times New Roman"/>
          <w:sz w:val="24"/>
          <w:szCs w:val="24"/>
          <w:lang w:val="es-ES"/>
        </w:rPr>
        <w:t>ón de</w:t>
      </w:r>
      <w:r w:rsidRPr="00E82D31">
        <w:rPr>
          <w:rFonts w:ascii="Times New Roman" w:hAnsi="Times New Roman"/>
          <w:sz w:val="24"/>
          <w:szCs w:val="24"/>
          <w:lang w:val="es-ES"/>
        </w:rPr>
        <w:t xml:space="preserve"> </w:t>
      </w:r>
      <w:r w:rsidRPr="00E82D31">
        <w:rPr>
          <w:rFonts w:ascii="Times New Roman" w:hAnsi="Times New Roman"/>
          <w:i/>
          <w:sz w:val="24"/>
          <w:szCs w:val="24"/>
          <w:lang w:val="es-ES"/>
        </w:rPr>
        <w:t>Phytophthora</w:t>
      </w:r>
      <w:r>
        <w:rPr>
          <w:rFonts w:ascii="Times New Roman" w:hAnsi="Times New Roman"/>
          <w:sz w:val="24"/>
          <w:szCs w:val="24"/>
          <w:lang w:val="es-ES"/>
        </w:rPr>
        <w:t xml:space="preserve"> mediante la secuenciación masiva de amplicones basado en la región ITS1</w:t>
      </w:r>
      <w:r w:rsidRPr="00E82D31">
        <w:rPr>
          <w:rFonts w:ascii="Times New Roman" w:hAnsi="Times New Roman"/>
          <w:sz w:val="24"/>
          <w:szCs w:val="24"/>
          <w:lang w:val="es-ES"/>
        </w:rPr>
        <w:t xml:space="preserve">. </w:t>
      </w:r>
      <w:r w:rsidRPr="00274152">
        <w:rPr>
          <w:rFonts w:ascii="Times New Roman" w:hAnsi="Times New Roman"/>
          <w:sz w:val="24"/>
          <w:szCs w:val="24"/>
          <w:lang w:val="es-ES"/>
        </w:rPr>
        <w:t xml:space="preserve">Diferentes valores de </w:t>
      </w:r>
      <w:r w:rsidRPr="00E82D31">
        <w:rPr>
          <w:rFonts w:ascii="Times New Roman" w:hAnsi="Times New Roman"/>
          <w:i/>
          <w:sz w:val="24"/>
          <w:szCs w:val="24"/>
          <w:lang w:val="es-ES"/>
        </w:rPr>
        <w:t>threshold</w:t>
      </w:r>
      <w:r>
        <w:rPr>
          <w:rFonts w:ascii="Times New Roman" w:hAnsi="Times New Roman"/>
          <w:sz w:val="24"/>
          <w:szCs w:val="24"/>
          <w:lang w:val="es-ES"/>
        </w:rPr>
        <w:t xml:space="preserve"> </w:t>
      </w:r>
      <w:r w:rsidRPr="00274152">
        <w:rPr>
          <w:rFonts w:ascii="Times New Roman" w:hAnsi="Times New Roman"/>
          <w:sz w:val="24"/>
          <w:szCs w:val="24"/>
          <w:lang w:val="es-ES"/>
        </w:rPr>
        <w:t xml:space="preserve">se analizaron para la separación óptima de especies de </w:t>
      </w:r>
      <w:r w:rsidRPr="00E82D31">
        <w:rPr>
          <w:rFonts w:ascii="Times New Roman" w:hAnsi="Times New Roman"/>
          <w:i/>
          <w:sz w:val="24"/>
          <w:szCs w:val="24"/>
          <w:lang w:val="es-ES"/>
        </w:rPr>
        <w:t>Phytophthora</w:t>
      </w:r>
      <w:r w:rsidRPr="00274152">
        <w:rPr>
          <w:rFonts w:ascii="Times New Roman" w:hAnsi="Times New Roman"/>
          <w:sz w:val="24"/>
          <w:szCs w:val="24"/>
          <w:lang w:val="es-ES"/>
        </w:rPr>
        <w:t xml:space="preserve"> en los análisis bioinformáticos. El agrupamiento al 99% fue el mejor criterio para separar la mayor parte de las especies de </w:t>
      </w:r>
      <w:r w:rsidRPr="00E82D31">
        <w:rPr>
          <w:rFonts w:ascii="Times New Roman" w:hAnsi="Times New Roman"/>
          <w:i/>
          <w:sz w:val="24"/>
          <w:szCs w:val="24"/>
          <w:lang w:val="es-ES"/>
        </w:rPr>
        <w:lastRenderedPageBreak/>
        <w:t>Phytophthora</w:t>
      </w:r>
      <w:r w:rsidRPr="00274152">
        <w:rPr>
          <w:rFonts w:ascii="Times New Roman" w:hAnsi="Times New Roman"/>
          <w:sz w:val="24"/>
          <w:szCs w:val="24"/>
          <w:lang w:val="es-ES"/>
        </w:rPr>
        <w:t xml:space="preserve">. Múltiples Unidades </w:t>
      </w:r>
      <w:r>
        <w:rPr>
          <w:rFonts w:ascii="Times New Roman" w:hAnsi="Times New Roman"/>
          <w:sz w:val="24"/>
          <w:szCs w:val="24"/>
          <w:lang w:val="es-ES"/>
        </w:rPr>
        <w:t xml:space="preserve">Operacionales </w:t>
      </w:r>
      <w:r w:rsidRPr="00274152">
        <w:rPr>
          <w:rFonts w:ascii="Times New Roman" w:hAnsi="Times New Roman"/>
          <w:sz w:val="24"/>
          <w:szCs w:val="24"/>
          <w:lang w:val="es-ES"/>
        </w:rPr>
        <w:t xml:space="preserve">Taxonómicas Moleculares (MOTU) correspondientes a 36 especies distintas de </w:t>
      </w:r>
      <w:r w:rsidRPr="00E82D31">
        <w:rPr>
          <w:rFonts w:ascii="Times New Roman" w:hAnsi="Times New Roman"/>
          <w:i/>
          <w:sz w:val="24"/>
          <w:szCs w:val="24"/>
          <w:lang w:val="es-ES"/>
        </w:rPr>
        <w:t>Phytophthora</w:t>
      </w:r>
      <w:r w:rsidRPr="00274152">
        <w:rPr>
          <w:rFonts w:ascii="Times New Roman" w:hAnsi="Times New Roman"/>
          <w:sz w:val="24"/>
          <w:szCs w:val="24"/>
          <w:lang w:val="es-ES"/>
        </w:rPr>
        <w:t xml:space="preserve"> se amplificaron en las muestras ambientales. La pirosequencia</w:t>
      </w:r>
      <w:r>
        <w:rPr>
          <w:rFonts w:ascii="Times New Roman" w:hAnsi="Times New Roman"/>
          <w:sz w:val="24"/>
          <w:szCs w:val="24"/>
          <w:lang w:val="es-ES"/>
        </w:rPr>
        <w:t>ción</w:t>
      </w:r>
      <w:r w:rsidRPr="00274152">
        <w:rPr>
          <w:rFonts w:ascii="Times New Roman" w:hAnsi="Times New Roman"/>
          <w:sz w:val="24"/>
          <w:szCs w:val="24"/>
          <w:lang w:val="es-ES"/>
        </w:rPr>
        <w:t xml:space="preserve"> de amplicones de muestras de suelo reveló una diversidad baja de </w:t>
      </w:r>
      <w:r w:rsidRPr="00E82D31">
        <w:rPr>
          <w:rFonts w:ascii="Times New Roman" w:hAnsi="Times New Roman"/>
          <w:i/>
          <w:sz w:val="24"/>
          <w:szCs w:val="24"/>
          <w:lang w:val="es-ES"/>
        </w:rPr>
        <w:t>Phytophthora</w:t>
      </w:r>
      <w:r w:rsidRPr="00274152">
        <w:rPr>
          <w:rFonts w:ascii="Times New Roman" w:hAnsi="Times New Roman"/>
          <w:sz w:val="24"/>
          <w:szCs w:val="24"/>
          <w:lang w:val="es-ES"/>
        </w:rPr>
        <w:t xml:space="preserve"> (13 especies) en comparación con las 35 especies detectadas en muestras de agua. Trece de los MOTU detectados en los ríos y arroyos no mostraron </w:t>
      </w:r>
      <w:r>
        <w:rPr>
          <w:rFonts w:ascii="Times New Roman" w:hAnsi="Times New Roman"/>
          <w:sz w:val="24"/>
          <w:szCs w:val="24"/>
          <w:lang w:val="es-ES"/>
        </w:rPr>
        <w:t>homología</w:t>
      </w:r>
      <w:r w:rsidRPr="00274152">
        <w:rPr>
          <w:rFonts w:ascii="Times New Roman" w:hAnsi="Times New Roman"/>
          <w:sz w:val="24"/>
          <w:szCs w:val="24"/>
          <w:lang w:val="es-ES"/>
        </w:rPr>
        <w:t xml:space="preserve"> con secuencias </w:t>
      </w:r>
      <w:r>
        <w:rPr>
          <w:rFonts w:ascii="Times New Roman" w:hAnsi="Times New Roman"/>
          <w:sz w:val="24"/>
          <w:szCs w:val="24"/>
          <w:lang w:val="es-ES"/>
        </w:rPr>
        <w:t xml:space="preserve">depositadas </w:t>
      </w:r>
      <w:r w:rsidRPr="00274152">
        <w:rPr>
          <w:rFonts w:ascii="Times New Roman" w:hAnsi="Times New Roman"/>
          <w:sz w:val="24"/>
          <w:szCs w:val="24"/>
          <w:lang w:val="es-ES"/>
        </w:rPr>
        <w:t>en las bases de datos, lo que reve</w:t>
      </w:r>
      <w:r>
        <w:rPr>
          <w:rFonts w:ascii="Times New Roman" w:hAnsi="Times New Roman"/>
          <w:sz w:val="24"/>
          <w:szCs w:val="24"/>
          <w:lang w:val="es-ES"/>
        </w:rPr>
        <w:t>la que la pirosequenciación del ADN ambiental</w:t>
      </w:r>
      <w:r w:rsidRPr="00274152">
        <w:rPr>
          <w:rFonts w:ascii="Times New Roman" w:hAnsi="Times New Roman"/>
          <w:sz w:val="24"/>
          <w:szCs w:val="24"/>
          <w:lang w:val="es-ES"/>
        </w:rPr>
        <w:t xml:space="preserve"> es una estrategia útil para evaluar la diversidad de especies </w:t>
      </w:r>
      <w:r w:rsidRPr="00E82D31">
        <w:rPr>
          <w:rFonts w:ascii="Times New Roman" w:hAnsi="Times New Roman"/>
          <w:i/>
          <w:sz w:val="24"/>
          <w:szCs w:val="24"/>
          <w:lang w:val="es-ES"/>
        </w:rPr>
        <w:t>Phytophthora</w:t>
      </w:r>
      <w:r w:rsidRPr="00274152">
        <w:rPr>
          <w:rFonts w:ascii="Times New Roman" w:hAnsi="Times New Roman"/>
          <w:sz w:val="24"/>
          <w:szCs w:val="24"/>
          <w:lang w:val="es-ES"/>
        </w:rPr>
        <w:t xml:space="preserve"> en los ecosistemas naturales.</w:t>
      </w:r>
    </w:p>
    <w:p w:rsidR="007E3384" w:rsidRPr="00274152" w:rsidRDefault="007E3384" w:rsidP="007E3384">
      <w:pPr>
        <w:spacing w:line="480" w:lineRule="auto"/>
        <w:ind w:firstLine="708"/>
        <w:jc w:val="both"/>
        <w:rPr>
          <w:rFonts w:ascii="Times New Roman" w:hAnsi="Times New Roman"/>
          <w:sz w:val="24"/>
          <w:szCs w:val="24"/>
          <w:lang w:val="es-ES"/>
        </w:rPr>
      </w:pPr>
      <w:r w:rsidRPr="00274152">
        <w:rPr>
          <w:rFonts w:ascii="Times New Roman" w:hAnsi="Times New Roman"/>
          <w:sz w:val="24"/>
          <w:szCs w:val="24"/>
          <w:lang w:val="es-ES"/>
        </w:rPr>
        <w:t xml:space="preserve">Una vez que la técnica fue desarrollada y validada, se propuso otro objetivo enfocado en </w:t>
      </w:r>
      <w:r>
        <w:rPr>
          <w:rFonts w:ascii="Times New Roman" w:hAnsi="Times New Roman"/>
          <w:sz w:val="24"/>
          <w:szCs w:val="24"/>
          <w:lang w:val="es-ES"/>
        </w:rPr>
        <w:t>el decaimiento de la carrasca</w:t>
      </w:r>
      <w:r w:rsidRPr="00274152">
        <w:rPr>
          <w:rFonts w:ascii="Times New Roman" w:hAnsi="Times New Roman"/>
          <w:sz w:val="24"/>
          <w:szCs w:val="24"/>
          <w:lang w:val="es-ES"/>
        </w:rPr>
        <w:t xml:space="preserve">. </w:t>
      </w:r>
      <w:r>
        <w:rPr>
          <w:rFonts w:ascii="Times New Roman" w:hAnsi="Times New Roman"/>
          <w:sz w:val="24"/>
          <w:szCs w:val="24"/>
          <w:lang w:val="es-ES"/>
        </w:rPr>
        <w:t>La carrasca</w:t>
      </w:r>
      <w:r w:rsidRPr="00274152">
        <w:rPr>
          <w:rFonts w:ascii="Times New Roman" w:hAnsi="Times New Roman"/>
          <w:sz w:val="24"/>
          <w:szCs w:val="24"/>
          <w:lang w:val="es-ES"/>
        </w:rPr>
        <w:t xml:space="preserve"> (</w:t>
      </w:r>
      <w:r w:rsidRPr="00E82D31">
        <w:rPr>
          <w:rFonts w:ascii="Times New Roman" w:hAnsi="Times New Roman"/>
          <w:i/>
          <w:sz w:val="24"/>
          <w:szCs w:val="24"/>
          <w:lang w:val="es-ES"/>
        </w:rPr>
        <w:t>Quercus ilex</w:t>
      </w:r>
      <w:r w:rsidRPr="00274152">
        <w:rPr>
          <w:rFonts w:ascii="Times New Roman" w:hAnsi="Times New Roman"/>
          <w:sz w:val="24"/>
          <w:szCs w:val="24"/>
          <w:lang w:val="es-ES"/>
        </w:rPr>
        <w:t>) es la especie arbórea más representativa de la Península Ib</w:t>
      </w:r>
      <w:r>
        <w:rPr>
          <w:rFonts w:ascii="Times New Roman" w:hAnsi="Times New Roman"/>
          <w:sz w:val="24"/>
          <w:szCs w:val="24"/>
          <w:lang w:val="es-ES"/>
        </w:rPr>
        <w:t>érica y el árbol principal de la</w:t>
      </w:r>
      <w:r w:rsidRPr="00274152">
        <w:rPr>
          <w:rFonts w:ascii="Times New Roman" w:hAnsi="Times New Roman"/>
          <w:sz w:val="24"/>
          <w:szCs w:val="24"/>
          <w:lang w:val="es-ES"/>
        </w:rPr>
        <w:t xml:space="preserve">s </w:t>
      </w:r>
      <w:r>
        <w:rPr>
          <w:rFonts w:ascii="Times New Roman" w:hAnsi="Times New Roman"/>
          <w:sz w:val="24"/>
          <w:szCs w:val="24"/>
          <w:lang w:val="es-ES"/>
        </w:rPr>
        <w:t>dehesas</w:t>
      </w:r>
      <w:r w:rsidRPr="00274152">
        <w:rPr>
          <w:rFonts w:ascii="Times New Roman" w:hAnsi="Times New Roman"/>
          <w:sz w:val="24"/>
          <w:szCs w:val="24"/>
          <w:lang w:val="es-ES"/>
        </w:rPr>
        <w:t xml:space="preserve">. </w:t>
      </w:r>
      <w:r>
        <w:rPr>
          <w:rFonts w:ascii="Times New Roman" w:hAnsi="Times New Roman"/>
          <w:sz w:val="24"/>
          <w:szCs w:val="24"/>
          <w:lang w:val="es-ES"/>
        </w:rPr>
        <w:t>El decaimiento de la carrasca</w:t>
      </w:r>
      <w:r w:rsidRPr="00274152">
        <w:rPr>
          <w:rFonts w:ascii="Times New Roman" w:hAnsi="Times New Roman"/>
          <w:sz w:val="24"/>
          <w:szCs w:val="24"/>
          <w:lang w:val="es-ES"/>
        </w:rPr>
        <w:t xml:space="preserve"> en suelos no calcáreos en el suroeste de España se ha asociado con </w:t>
      </w:r>
      <w:r w:rsidRPr="00E82D31">
        <w:rPr>
          <w:rFonts w:ascii="Times New Roman" w:hAnsi="Times New Roman"/>
          <w:i/>
          <w:sz w:val="24"/>
          <w:szCs w:val="24"/>
          <w:lang w:val="es-ES"/>
        </w:rPr>
        <w:t>Phytophthora cinnamomi</w:t>
      </w:r>
      <w:r w:rsidRPr="00274152">
        <w:rPr>
          <w:rFonts w:ascii="Times New Roman" w:hAnsi="Times New Roman"/>
          <w:sz w:val="24"/>
          <w:szCs w:val="24"/>
          <w:lang w:val="es-ES"/>
        </w:rPr>
        <w:t xml:space="preserve"> durante décadas. Sin embargo, otras especies de </w:t>
      </w:r>
      <w:r w:rsidRPr="00E82D31">
        <w:rPr>
          <w:rFonts w:ascii="Times New Roman" w:hAnsi="Times New Roman"/>
          <w:i/>
          <w:sz w:val="24"/>
          <w:szCs w:val="24"/>
          <w:lang w:val="es-ES"/>
        </w:rPr>
        <w:t>Phytophthora</w:t>
      </w:r>
      <w:r w:rsidRPr="00274152">
        <w:rPr>
          <w:rFonts w:ascii="Times New Roman" w:hAnsi="Times New Roman"/>
          <w:sz w:val="24"/>
          <w:szCs w:val="24"/>
          <w:lang w:val="es-ES"/>
        </w:rPr>
        <w:t xml:space="preserve"> como </w:t>
      </w:r>
      <w:r w:rsidRPr="00E82D31">
        <w:rPr>
          <w:rFonts w:ascii="Times New Roman" w:hAnsi="Times New Roman"/>
          <w:i/>
          <w:sz w:val="24"/>
          <w:szCs w:val="24"/>
          <w:lang w:val="es-ES"/>
        </w:rPr>
        <w:t>P. quercina</w:t>
      </w:r>
      <w:r w:rsidRPr="00274152">
        <w:rPr>
          <w:rFonts w:ascii="Times New Roman" w:hAnsi="Times New Roman"/>
          <w:sz w:val="24"/>
          <w:szCs w:val="24"/>
          <w:lang w:val="es-ES"/>
        </w:rPr>
        <w:t xml:space="preserve"> y </w:t>
      </w:r>
      <w:r w:rsidRPr="00E82D31">
        <w:rPr>
          <w:rFonts w:ascii="Times New Roman" w:hAnsi="Times New Roman"/>
          <w:i/>
          <w:sz w:val="24"/>
          <w:szCs w:val="24"/>
          <w:lang w:val="es-ES"/>
        </w:rPr>
        <w:t>P. psychrophila</w:t>
      </w:r>
      <w:r w:rsidRPr="00274152">
        <w:rPr>
          <w:rFonts w:ascii="Times New Roman" w:hAnsi="Times New Roman"/>
          <w:sz w:val="24"/>
          <w:szCs w:val="24"/>
          <w:lang w:val="es-ES"/>
        </w:rPr>
        <w:t xml:space="preserve"> se han asociado con el declive de </w:t>
      </w:r>
      <w:r w:rsidRPr="00E82D31">
        <w:rPr>
          <w:rFonts w:ascii="Times New Roman" w:hAnsi="Times New Roman"/>
          <w:i/>
          <w:sz w:val="24"/>
          <w:szCs w:val="24"/>
          <w:lang w:val="es-ES"/>
        </w:rPr>
        <w:t>Quercus</w:t>
      </w:r>
      <w:r w:rsidRPr="00274152">
        <w:rPr>
          <w:rFonts w:ascii="Times New Roman" w:hAnsi="Times New Roman"/>
          <w:sz w:val="24"/>
          <w:szCs w:val="24"/>
          <w:lang w:val="es-ES"/>
        </w:rPr>
        <w:t xml:space="preserve"> en la parte oriental de España donde predominan los suelos calcáreos. Con el objetivo de investigar la implicación de </w:t>
      </w:r>
      <w:r w:rsidRPr="00E82D31">
        <w:rPr>
          <w:rFonts w:ascii="Times New Roman" w:hAnsi="Times New Roman"/>
          <w:i/>
          <w:sz w:val="24"/>
          <w:szCs w:val="24"/>
          <w:lang w:val="es-ES"/>
        </w:rPr>
        <w:t>Phytophthora</w:t>
      </w:r>
      <w:r>
        <w:rPr>
          <w:rFonts w:ascii="Times New Roman" w:hAnsi="Times New Roman"/>
          <w:sz w:val="24"/>
          <w:szCs w:val="24"/>
          <w:lang w:val="es-ES"/>
        </w:rPr>
        <w:t xml:space="preserve"> spp. </w:t>
      </w:r>
      <w:proofErr w:type="gramStart"/>
      <w:r>
        <w:rPr>
          <w:rFonts w:ascii="Times New Roman" w:hAnsi="Times New Roman"/>
          <w:sz w:val="24"/>
          <w:szCs w:val="24"/>
          <w:lang w:val="es-ES"/>
        </w:rPr>
        <w:t>e</w:t>
      </w:r>
      <w:r w:rsidRPr="00274152">
        <w:rPr>
          <w:rFonts w:ascii="Times New Roman" w:hAnsi="Times New Roman"/>
          <w:sz w:val="24"/>
          <w:szCs w:val="24"/>
          <w:lang w:val="es-ES"/>
        </w:rPr>
        <w:t>n</w:t>
      </w:r>
      <w:proofErr w:type="gramEnd"/>
      <w:r w:rsidRPr="00274152">
        <w:rPr>
          <w:rFonts w:ascii="Times New Roman" w:hAnsi="Times New Roman"/>
          <w:sz w:val="24"/>
          <w:szCs w:val="24"/>
          <w:lang w:val="es-ES"/>
        </w:rPr>
        <w:t xml:space="preserve"> el declive de</w:t>
      </w:r>
      <w:r>
        <w:rPr>
          <w:rFonts w:ascii="Times New Roman" w:hAnsi="Times New Roman"/>
          <w:sz w:val="24"/>
          <w:szCs w:val="24"/>
          <w:lang w:val="es-ES"/>
        </w:rPr>
        <w:t xml:space="preserve"> </w:t>
      </w:r>
      <w:r w:rsidRPr="00274152">
        <w:rPr>
          <w:rFonts w:ascii="Times New Roman" w:hAnsi="Times New Roman"/>
          <w:sz w:val="24"/>
          <w:szCs w:val="24"/>
          <w:lang w:val="es-ES"/>
        </w:rPr>
        <w:t>l</w:t>
      </w:r>
      <w:r>
        <w:rPr>
          <w:rFonts w:ascii="Times New Roman" w:hAnsi="Times New Roman"/>
          <w:sz w:val="24"/>
          <w:szCs w:val="24"/>
          <w:lang w:val="es-ES"/>
        </w:rPr>
        <w:t>a</w:t>
      </w:r>
      <w:r w:rsidRPr="00274152">
        <w:rPr>
          <w:rFonts w:ascii="Times New Roman" w:hAnsi="Times New Roman"/>
          <w:sz w:val="24"/>
          <w:szCs w:val="24"/>
          <w:lang w:val="es-ES"/>
        </w:rPr>
        <w:t xml:space="preserve"> </w:t>
      </w:r>
      <w:r>
        <w:rPr>
          <w:rFonts w:ascii="Times New Roman" w:hAnsi="Times New Roman"/>
          <w:sz w:val="24"/>
          <w:szCs w:val="24"/>
          <w:lang w:val="es-ES"/>
        </w:rPr>
        <w:t xml:space="preserve">carrasca </w:t>
      </w:r>
      <w:r w:rsidRPr="00274152">
        <w:rPr>
          <w:rFonts w:ascii="Times New Roman" w:hAnsi="Times New Roman"/>
          <w:sz w:val="24"/>
          <w:szCs w:val="24"/>
          <w:lang w:val="es-ES"/>
        </w:rPr>
        <w:t xml:space="preserve">en el este de España, se seleccionaron dos bosques en diferentes zonas geográficas (Alcoi y Vallivana) como </w:t>
      </w:r>
      <w:r>
        <w:rPr>
          <w:rFonts w:ascii="Times New Roman" w:hAnsi="Times New Roman"/>
          <w:sz w:val="24"/>
          <w:szCs w:val="24"/>
          <w:lang w:val="es-ES"/>
        </w:rPr>
        <w:t xml:space="preserve">lugares </w:t>
      </w:r>
      <w:r w:rsidRPr="00274152">
        <w:rPr>
          <w:rFonts w:ascii="Times New Roman" w:hAnsi="Times New Roman"/>
          <w:sz w:val="24"/>
          <w:szCs w:val="24"/>
          <w:lang w:val="es-ES"/>
        </w:rPr>
        <w:t>de muestreo. Las muestras de suelo y raíz se analizaron por pirosequenciación</w:t>
      </w:r>
      <w:r>
        <w:rPr>
          <w:rFonts w:ascii="Times New Roman" w:hAnsi="Times New Roman"/>
          <w:sz w:val="24"/>
          <w:szCs w:val="24"/>
          <w:lang w:val="es-ES"/>
        </w:rPr>
        <w:t xml:space="preserve"> de amplicones</w:t>
      </w:r>
      <w:r w:rsidRPr="00274152">
        <w:rPr>
          <w:rFonts w:ascii="Times New Roman" w:hAnsi="Times New Roman"/>
          <w:sz w:val="24"/>
          <w:szCs w:val="24"/>
          <w:lang w:val="es-ES"/>
        </w:rPr>
        <w:t xml:space="preserve">. </w:t>
      </w:r>
      <w:r>
        <w:rPr>
          <w:rFonts w:ascii="Times New Roman" w:hAnsi="Times New Roman"/>
          <w:sz w:val="24"/>
          <w:szCs w:val="24"/>
          <w:lang w:val="es-ES"/>
        </w:rPr>
        <w:t>Los resultados de la secuenciación masiva</w:t>
      </w:r>
      <w:r w:rsidRPr="00274152">
        <w:rPr>
          <w:rFonts w:ascii="Times New Roman" w:hAnsi="Times New Roman"/>
          <w:sz w:val="24"/>
          <w:szCs w:val="24"/>
          <w:lang w:val="es-ES"/>
        </w:rPr>
        <w:t xml:space="preserve"> </w:t>
      </w:r>
      <w:r>
        <w:rPr>
          <w:rFonts w:ascii="Times New Roman" w:hAnsi="Times New Roman"/>
          <w:sz w:val="24"/>
          <w:szCs w:val="24"/>
          <w:lang w:val="es-ES"/>
        </w:rPr>
        <w:t>mostraron la diversidad de especies de</w:t>
      </w:r>
      <w:r w:rsidRPr="00274152">
        <w:rPr>
          <w:rFonts w:ascii="Times New Roman" w:hAnsi="Times New Roman"/>
          <w:sz w:val="24"/>
          <w:szCs w:val="24"/>
          <w:lang w:val="es-ES"/>
        </w:rPr>
        <w:t xml:space="preserve"> </w:t>
      </w:r>
      <w:r w:rsidRPr="00E82D31">
        <w:rPr>
          <w:rFonts w:ascii="Times New Roman" w:hAnsi="Times New Roman"/>
          <w:i/>
          <w:sz w:val="24"/>
          <w:szCs w:val="24"/>
          <w:lang w:val="es-ES"/>
        </w:rPr>
        <w:t>Phytophthora</w:t>
      </w:r>
      <w:r w:rsidRPr="00274152">
        <w:rPr>
          <w:rFonts w:ascii="Times New Roman" w:hAnsi="Times New Roman"/>
          <w:sz w:val="24"/>
          <w:szCs w:val="24"/>
          <w:lang w:val="es-ES"/>
        </w:rPr>
        <w:t xml:space="preserve">, y reveló que un taxón </w:t>
      </w:r>
      <w:r>
        <w:rPr>
          <w:rFonts w:ascii="Times New Roman" w:hAnsi="Times New Roman"/>
          <w:sz w:val="24"/>
          <w:szCs w:val="24"/>
          <w:lang w:val="es-ES"/>
        </w:rPr>
        <w:t>nunca aislado de</w:t>
      </w:r>
      <w:r w:rsidRPr="00274152">
        <w:rPr>
          <w:rFonts w:ascii="Times New Roman" w:hAnsi="Times New Roman"/>
          <w:sz w:val="24"/>
          <w:szCs w:val="24"/>
          <w:lang w:val="es-ES"/>
        </w:rPr>
        <w:t xml:space="preserve"> </w:t>
      </w:r>
      <w:r w:rsidRPr="00E82D31">
        <w:rPr>
          <w:rFonts w:ascii="Times New Roman" w:hAnsi="Times New Roman"/>
          <w:i/>
          <w:sz w:val="24"/>
          <w:szCs w:val="24"/>
          <w:lang w:val="es-ES"/>
        </w:rPr>
        <w:t>Phytophthora</w:t>
      </w:r>
      <w:r w:rsidRPr="00274152">
        <w:rPr>
          <w:rFonts w:ascii="Times New Roman" w:hAnsi="Times New Roman"/>
          <w:sz w:val="24"/>
          <w:szCs w:val="24"/>
          <w:lang w:val="es-ES"/>
        </w:rPr>
        <w:t xml:space="preserve">, llamado provisional </w:t>
      </w:r>
      <w:r w:rsidRPr="00E82D31">
        <w:rPr>
          <w:rFonts w:ascii="Times New Roman" w:hAnsi="Times New Roman"/>
          <w:i/>
          <w:sz w:val="24"/>
          <w:szCs w:val="24"/>
          <w:lang w:val="es-ES"/>
        </w:rPr>
        <w:t>Phytophthora</w:t>
      </w:r>
      <w:r w:rsidRPr="00274152">
        <w:rPr>
          <w:rFonts w:ascii="Times New Roman" w:hAnsi="Times New Roman"/>
          <w:sz w:val="24"/>
          <w:szCs w:val="24"/>
          <w:lang w:val="es-ES"/>
        </w:rPr>
        <w:t xml:space="preserve"> taxon ballota, fue la especie predominante en ambas áreas. Además, s</w:t>
      </w:r>
      <w:r>
        <w:rPr>
          <w:rFonts w:ascii="Times New Roman" w:hAnsi="Times New Roman"/>
          <w:sz w:val="24"/>
          <w:szCs w:val="24"/>
          <w:lang w:val="es-ES"/>
        </w:rPr>
        <w:t>e desarrolló un ensayo de PCR a</w:t>
      </w:r>
      <w:r w:rsidRPr="00274152">
        <w:rPr>
          <w:rFonts w:ascii="Times New Roman" w:hAnsi="Times New Roman"/>
          <w:sz w:val="24"/>
          <w:szCs w:val="24"/>
          <w:lang w:val="es-ES"/>
        </w:rPr>
        <w:t xml:space="preserve"> tiempo real, basado en los resultados de la pirosequencia</w:t>
      </w:r>
      <w:r>
        <w:rPr>
          <w:rFonts w:ascii="Times New Roman" w:hAnsi="Times New Roman"/>
          <w:sz w:val="24"/>
          <w:szCs w:val="24"/>
          <w:lang w:val="es-ES"/>
        </w:rPr>
        <w:t>ción</w:t>
      </w:r>
      <w:r w:rsidRPr="00274152">
        <w:rPr>
          <w:rFonts w:ascii="Times New Roman" w:hAnsi="Times New Roman"/>
          <w:sz w:val="24"/>
          <w:szCs w:val="24"/>
          <w:lang w:val="es-ES"/>
        </w:rPr>
        <w:t xml:space="preserve">, para la detección de este taxón de </w:t>
      </w:r>
      <w:r w:rsidRPr="00E82D31">
        <w:rPr>
          <w:rFonts w:ascii="Times New Roman" w:hAnsi="Times New Roman"/>
          <w:i/>
          <w:sz w:val="24"/>
          <w:szCs w:val="24"/>
          <w:lang w:val="es-ES"/>
        </w:rPr>
        <w:t>Phytophthora</w:t>
      </w:r>
      <w:r w:rsidRPr="00274152">
        <w:rPr>
          <w:rFonts w:ascii="Times New Roman" w:hAnsi="Times New Roman"/>
          <w:sz w:val="24"/>
          <w:szCs w:val="24"/>
          <w:lang w:val="es-ES"/>
        </w:rPr>
        <w:t xml:space="preserve"> n</w:t>
      </w:r>
      <w:r>
        <w:rPr>
          <w:rFonts w:ascii="Times New Roman" w:hAnsi="Times New Roman"/>
          <w:sz w:val="24"/>
          <w:szCs w:val="24"/>
          <w:lang w:val="es-ES"/>
        </w:rPr>
        <w:t>unca aislado</w:t>
      </w:r>
      <w:r w:rsidRPr="00274152">
        <w:rPr>
          <w:rFonts w:ascii="Times New Roman" w:hAnsi="Times New Roman"/>
          <w:sz w:val="24"/>
          <w:szCs w:val="24"/>
          <w:lang w:val="es-ES"/>
        </w:rPr>
        <w:t xml:space="preserve">, y también para la detección de </w:t>
      </w:r>
      <w:r w:rsidRPr="00E82D31">
        <w:rPr>
          <w:rFonts w:ascii="Times New Roman" w:hAnsi="Times New Roman"/>
          <w:i/>
          <w:sz w:val="24"/>
          <w:szCs w:val="24"/>
          <w:lang w:val="es-ES"/>
        </w:rPr>
        <w:t>P. quercina</w:t>
      </w:r>
      <w:r w:rsidRPr="00274152">
        <w:rPr>
          <w:rFonts w:ascii="Times New Roman" w:hAnsi="Times New Roman"/>
          <w:sz w:val="24"/>
          <w:szCs w:val="24"/>
          <w:lang w:val="es-ES"/>
        </w:rPr>
        <w:t xml:space="preserve">. Los ensayos de </w:t>
      </w:r>
      <w:r>
        <w:rPr>
          <w:rFonts w:ascii="Times New Roman" w:hAnsi="Times New Roman"/>
          <w:sz w:val="24"/>
          <w:szCs w:val="24"/>
          <w:lang w:val="es-ES"/>
        </w:rPr>
        <w:t>qPCR</w:t>
      </w:r>
      <w:r w:rsidRPr="00274152">
        <w:rPr>
          <w:rFonts w:ascii="Times New Roman" w:hAnsi="Times New Roman"/>
          <w:sz w:val="24"/>
          <w:szCs w:val="24"/>
          <w:lang w:val="es-ES"/>
        </w:rPr>
        <w:t xml:space="preserve"> se</w:t>
      </w:r>
      <w:r>
        <w:rPr>
          <w:rFonts w:ascii="Times New Roman" w:hAnsi="Times New Roman"/>
          <w:sz w:val="24"/>
          <w:szCs w:val="24"/>
          <w:lang w:val="es-ES"/>
        </w:rPr>
        <w:t xml:space="preserve"> aplicaron</w:t>
      </w:r>
      <w:r w:rsidRPr="00274152">
        <w:rPr>
          <w:rFonts w:ascii="Times New Roman" w:hAnsi="Times New Roman"/>
          <w:sz w:val="24"/>
          <w:szCs w:val="24"/>
          <w:lang w:val="es-ES"/>
        </w:rPr>
        <w:t xml:space="preserve"> en muestras de suelo y raíz, y en cultivos puros de </w:t>
      </w:r>
      <w:r w:rsidRPr="00E82D31">
        <w:rPr>
          <w:rFonts w:ascii="Times New Roman" w:hAnsi="Times New Roman"/>
          <w:i/>
          <w:sz w:val="24"/>
          <w:szCs w:val="24"/>
          <w:lang w:val="es-ES"/>
        </w:rPr>
        <w:lastRenderedPageBreak/>
        <w:t>Phytophthora</w:t>
      </w:r>
      <w:r w:rsidRPr="00274152">
        <w:rPr>
          <w:rFonts w:ascii="Times New Roman" w:hAnsi="Times New Roman"/>
          <w:sz w:val="24"/>
          <w:szCs w:val="24"/>
          <w:lang w:val="es-ES"/>
        </w:rPr>
        <w:t xml:space="preserve">. Los nuevos ensayos mostraron alta especificidad y fueron consistentes con los resultados de </w:t>
      </w:r>
      <w:r>
        <w:rPr>
          <w:rFonts w:ascii="Times New Roman" w:hAnsi="Times New Roman"/>
          <w:sz w:val="24"/>
          <w:szCs w:val="24"/>
          <w:lang w:val="es-ES"/>
        </w:rPr>
        <w:t>secuenciación masiva</w:t>
      </w:r>
      <w:r w:rsidRPr="00274152">
        <w:rPr>
          <w:rFonts w:ascii="Times New Roman" w:hAnsi="Times New Roman"/>
          <w:sz w:val="24"/>
          <w:szCs w:val="24"/>
          <w:lang w:val="es-ES"/>
        </w:rPr>
        <w:t>.</w:t>
      </w:r>
    </w:p>
    <w:p w:rsidR="007E3384" w:rsidRPr="00C0277B" w:rsidRDefault="007E3384" w:rsidP="007E3384">
      <w:pPr>
        <w:spacing w:line="480" w:lineRule="auto"/>
        <w:ind w:firstLine="708"/>
        <w:jc w:val="both"/>
        <w:rPr>
          <w:rFonts w:ascii="Times New Roman" w:hAnsi="Times New Roman"/>
          <w:sz w:val="24"/>
          <w:szCs w:val="24"/>
          <w:lang w:val="es-ES"/>
        </w:rPr>
      </w:pPr>
      <w:r w:rsidRPr="00274152">
        <w:rPr>
          <w:rFonts w:ascii="Times New Roman" w:hAnsi="Times New Roman"/>
          <w:sz w:val="24"/>
          <w:szCs w:val="24"/>
          <w:lang w:val="es-ES"/>
        </w:rPr>
        <w:t xml:space="preserve">Por último, los esfuerzos se centraron en la estrategia de muestreo </w:t>
      </w:r>
      <w:r>
        <w:rPr>
          <w:rFonts w:ascii="Times New Roman" w:hAnsi="Times New Roman"/>
          <w:sz w:val="24"/>
          <w:szCs w:val="24"/>
          <w:lang w:val="es-ES"/>
        </w:rPr>
        <w:t>en</w:t>
      </w:r>
      <w:r w:rsidRPr="00274152">
        <w:rPr>
          <w:rFonts w:ascii="Times New Roman" w:hAnsi="Times New Roman"/>
          <w:sz w:val="24"/>
          <w:szCs w:val="24"/>
          <w:lang w:val="es-ES"/>
        </w:rPr>
        <w:t xml:space="preserve"> muestras de agua, ya que como se ha visto anteriormente, los ríos y arroyos representaban un </w:t>
      </w:r>
      <w:r w:rsidRPr="00600759">
        <w:rPr>
          <w:rFonts w:ascii="Times New Roman" w:hAnsi="Times New Roman"/>
          <w:i/>
          <w:sz w:val="24"/>
          <w:szCs w:val="24"/>
          <w:lang w:val="es-ES"/>
        </w:rPr>
        <w:t>hotspot</w:t>
      </w:r>
      <w:r w:rsidRPr="00274152">
        <w:rPr>
          <w:rFonts w:ascii="Times New Roman" w:hAnsi="Times New Roman"/>
          <w:sz w:val="24"/>
          <w:szCs w:val="24"/>
          <w:lang w:val="es-ES"/>
        </w:rPr>
        <w:t xml:space="preserve"> para </w:t>
      </w:r>
      <w:r>
        <w:rPr>
          <w:rFonts w:ascii="Times New Roman" w:hAnsi="Times New Roman"/>
          <w:sz w:val="24"/>
          <w:szCs w:val="24"/>
          <w:lang w:val="es-ES"/>
        </w:rPr>
        <w:t>la detección</w:t>
      </w:r>
      <w:r w:rsidRPr="00274152">
        <w:rPr>
          <w:rFonts w:ascii="Times New Roman" w:hAnsi="Times New Roman"/>
          <w:sz w:val="24"/>
          <w:szCs w:val="24"/>
          <w:lang w:val="es-ES"/>
        </w:rPr>
        <w:t xml:space="preserve"> de </w:t>
      </w:r>
      <w:r w:rsidRPr="00600759">
        <w:rPr>
          <w:rFonts w:ascii="Times New Roman" w:hAnsi="Times New Roman"/>
          <w:i/>
          <w:sz w:val="24"/>
          <w:szCs w:val="24"/>
          <w:lang w:val="es-ES"/>
        </w:rPr>
        <w:t>Phytophthora</w:t>
      </w:r>
      <w:r w:rsidRPr="00274152">
        <w:rPr>
          <w:rFonts w:ascii="Times New Roman" w:hAnsi="Times New Roman"/>
          <w:sz w:val="24"/>
          <w:szCs w:val="24"/>
          <w:lang w:val="es-ES"/>
        </w:rPr>
        <w:t xml:space="preserve">. El aislamiento de especies de </w:t>
      </w:r>
      <w:r w:rsidRPr="00600759">
        <w:rPr>
          <w:rFonts w:ascii="Times New Roman" w:hAnsi="Times New Roman"/>
          <w:i/>
          <w:sz w:val="24"/>
          <w:szCs w:val="24"/>
          <w:lang w:val="es-ES"/>
        </w:rPr>
        <w:t>Phytophthora</w:t>
      </w:r>
      <w:r w:rsidRPr="00274152">
        <w:rPr>
          <w:rFonts w:ascii="Times New Roman" w:hAnsi="Times New Roman"/>
          <w:sz w:val="24"/>
          <w:szCs w:val="24"/>
          <w:lang w:val="es-ES"/>
        </w:rPr>
        <w:t xml:space="preserve"> </w:t>
      </w:r>
      <w:r>
        <w:rPr>
          <w:rFonts w:ascii="Times New Roman" w:hAnsi="Times New Roman"/>
          <w:sz w:val="24"/>
          <w:szCs w:val="24"/>
          <w:lang w:val="es-ES"/>
        </w:rPr>
        <w:t>en muestras</w:t>
      </w:r>
      <w:r w:rsidRPr="00274152">
        <w:rPr>
          <w:rFonts w:ascii="Times New Roman" w:hAnsi="Times New Roman"/>
          <w:sz w:val="24"/>
          <w:szCs w:val="24"/>
          <w:lang w:val="es-ES"/>
        </w:rPr>
        <w:t xml:space="preserve"> de agua es común y mundialmente conocido. Por lo general, los métodos más comunes utilizados son el </w:t>
      </w:r>
      <w:r>
        <w:rPr>
          <w:rFonts w:ascii="Times New Roman" w:hAnsi="Times New Roman"/>
          <w:sz w:val="24"/>
          <w:szCs w:val="24"/>
          <w:lang w:val="es-ES"/>
        </w:rPr>
        <w:t xml:space="preserve">trampeo </w:t>
      </w:r>
      <w:r w:rsidRPr="00274152">
        <w:rPr>
          <w:rFonts w:ascii="Times New Roman" w:hAnsi="Times New Roman"/>
          <w:sz w:val="24"/>
          <w:szCs w:val="24"/>
          <w:lang w:val="es-ES"/>
        </w:rPr>
        <w:t>y el filtrado de agua. Ambos métodos son exitosos para el aislamiento de especies acuáticas incluidas en el clado 6. Sin embargo, sólo unas pocas especies de otros clados son aisladas usando estos métodos debido al inóculo relativamente bajo disponible. En e</w:t>
      </w:r>
      <w:r>
        <w:rPr>
          <w:rFonts w:ascii="Times New Roman" w:hAnsi="Times New Roman"/>
          <w:sz w:val="24"/>
          <w:szCs w:val="24"/>
          <w:lang w:val="es-ES"/>
        </w:rPr>
        <w:t>ste estudio, en octubre de 2013</w:t>
      </w:r>
      <w:r w:rsidRPr="00274152">
        <w:rPr>
          <w:rFonts w:ascii="Times New Roman" w:hAnsi="Times New Roman"/>
          <w:sz w:val="24"/>
          <w:szCs w:val="24"/>
          <w:lang w:val="es-ES"/>
        </w:rPr>
        <w:t xml:space="preserve"> se muestrearon un total de 15 ríos y arroyos, </w:t>
      </w:r>
      <w:r>
        <w:rPr>
          <w:rFonts w:ascii="Times New Roman" w:hAnsi="Times New Roman"/>
          <w:sz w:val="24"/>
          <w:szCs w:val="24"/>
          <w:lang w:val="es-ES"/>
        </w:rPr>
        <w:t>que comprendían</w:t>
      </w:r>
      <w:r w:rsidRPr="00274152">
        <w:rPr>
          <w:rFonts w:ascii="Times New Roman" w:hAnsi="Times New Roman"/>
          <w:sz w:val="24"/>
          <w:szCs w:val="24"/>
          <w:lang w:val="es-ES"/>
        </w:rPr>
        <w:t xml:space="preserve"> áreas forestales en la montaña y áreas agrícolas en el valle. En cada río y arroyo se utilizaron </w:t>
      </w:r>
      <w:r>
        <w:rPr>
          <w:rFonts w:ascii="Times New Roman" w:hAnsi="Times New Roman"/>
          <w:sz w:val="24"/>
          <w:szCs w:val="24"/>
          <w:lang w:val="es-ES"/>
        </w:rPr>
        <w:t>dos</w:t>
      </w:r>
      <w:r w:rsidRPr="00274152">
        <w:rPr>
          <w:rFonts w:ascii="Times New Roman" w:hAnsi="Times New Roman"/>
          <w:sz w:val="24"/>
          <w:szCs w:val="24"/>
          <w:lang w:val="es-ES"/>
        </w:rPr>
        <w:t xml:space="preserve"> métodos de muestreo diferentes: </w:t>
      </w:r>
      <w:r>
        <w:rPr>
          <w:rFonts w:ascii="Times New Roman" w:hAnsi="Times New Roman"/>
          <w:sz w:val="24"/>
          <w:szCs w:val="24"/>
          <w:lang w:val="es-ES"/>
        </w:rPr>
        <w:t xml:space="preserve">el </w:t>
      </w:r>
      <w:r w:rsidRPr="00274152">
        <w:rPr>
          <w:rFonts w:ascii="Times New Roman" w:hAnsi="Times New Roman"/>
          <w:sz w:val="24"/>
          <w:szCs w:val="24"/>
          <w:lang w:val="es-ES"/>
        </w:rPr>
        <w:t xml:space="preserve">filtrado, </w:t>
      </w:r>
      <w:r>
        <w:rPr>
          <w:rFonts w:ascii="Times New Roman" w:hAnsi="Times New Roman"/>
          <w:sz w:val="24"/>
          <w:szCs w:val="24"/>
          <w:lang w:val="es-ES"/>
        </w:rPr>
        <w:t>y el trampeo con</w:t>
      </w:r>
      <w:r w:rsidRPr="00274152">
        <w:rPr>
          <w:rFonts w:ascii="Times New Roman" w:hAnsi="Times New Roman"/>
          <w:sz w:val="24"/>
          <w:szCs w:val="24"/>
          <w:lang w:val="es-ES"/>
        </w:rPr>
        <w:t xml:space="preserve"> hojas de </w:t>
      </w:r>
      <w:r w:rsidRPr="00600759">
        <w:rPr>
          <w:rFonts w:ascii="Times New Roman" w:hAnsi="Times New Roman"/>
          <w:i/>
          <w:sz w:val="24"/>
          <w:szCs w:val="24"/>
          <w:lang w:val="es-ES"/>
        </w:rPr>
        <w:t>Rhododendron</w:t>
      </w:r>
      <w:r>
        <w:rPr>
          <w:rFonts w:ascii="Times New Roman" w:hAnsi="Times New Roman"/>
          <w:sz w:val="24"/>
          <w:szCs w:val="24"/>
          <w:lang w:val="es-ES"/>
        </w:rPr>
        <w:t xml:space="preserve"> </w:t>
      </w:r>
      <w:r w:rsidRPr="00274152">
        <w:rPr>
          <w:rFonts w:ascii="Times New Roman" w:hAnsi="Times New Roman"/>
          <w:sz w:val="24"/>
          <w:szCs w:val="24"/>
          <w:lang w:val="es-ES"/>
        </w:rPr>
        <w:t xml:space="preserve">y con pétalos de clavel. Los filtros y </w:t>
      </w:r>
      <w:r>
        <w:rPr>
          <w:rFonts w:ascii="Times New Roman" w:hAnsi="Times New Roman"/>
          <w:sz w:val="24"/>
          <w:szCs w:val="24"/>
          <w:lang w:val="es-ES"/>
        </w:rPr>
        <w:t>trampas vegetales se sometieron</w:t>
      </w:r>
      <w:r w:rsidRPr="00274152">
        <w:rPr>
          <w:rFonts w:ascii="Times New Roman" w:hAnsi="Times New Roman"/>
          <w:sz w:val="24"/>
          <w:szCs w:val="24"/>
          <w:lang w:val="es-ES"/>
        </w:rPr>
        <w:t xml:space="preserve"> a aislamiento en medios selectivos. Se extrajo ADN de las muestras, se generaron bibliotecas de amplicones usando cebadores específicos de </w:t>
      </w:r>
      <w:r w:rsidRPr="00600759">
        <w:rPr>
          <w:rFonts w:ascii="Times New Roman" w:hAnsi="Times New Roman"/>
          <w:i/>
          <w:sz w:val="24"/>
          <w:szCs w:val="24"/>
          <w:lang w:val="es-ES"/>
        </w:rPr>
        <w:t>Phytophthora</w:t>
      </w:r>
      <w:r w:rsidRPr="00274152">
        <w:rPr>
          <w:rFonts w:ascii="Times New Roman" w:hAnsi="Times New Roman"/>
          <w:sz w:val="24"/>
          <w:szCs w:val="24"/>
          <w:lang w:val="es-ES"/>
        </w:rPr>
        <w:t>, y se pirosec</w:t>
      </w:r>
      <w:r>
        <w:rPr>
          <w:rFonts w:ascii="Times New Roman" w:hAnsi="Times New Roman"/>
          <w:sz w:val="24"/>
          <w:szCs w:val="24"/>
          <w:lang w:val="es-ES"/>
        </w:rPr>
        <w:t>cuenciaron</w:t>
      </w:r>
      <w:r w:rsidRPr="00274152">
        <w:rPr>
          <w:rFonts w:ascii="Times New Roman" w:hAnsi="Times New Roman"/>
          <w:sz w:val="24"/>
          <w:szCs w:val="24"/>
          <w:lang w:val="es-ES"/>
        </w:rPr>
        <w:t xml:space="preserve"> usando el instrumento GS Junior. Se identificaron seis especies de </w:t>
      </w:r>
      <w:r w:rsidRPr="00600759">
        <w:rPr>
          <w:rFonts w:ascii="Times New Roman" w:hAnsi="Times New Roman"/>
          <w:i/>
          <w:sz w:val="24"/>
          <w:szCs w:val="24"/>
          <w:lang w:val="es-ES"/>
        </w:rPr>
        <w:t>Phytophthora</w:t>
      </w:r>
      <w:r w:rsidRPr="00274152">
        <w:rPr>
          <w:rFonts w:ascii="Times New Roman" w:hAnsi="Times New Roman"/>
          <w:sz w:val="24"/>
          <w:szCs w:val="24"/>
          <w:lang w:val="es-ES"/>
        </w:rPr>
        <w:t xml:space="preserve"> utilizando técnicas de aislamiento en contraste con los 25 fitotipos de </w:t>
      </w:r>
      <w:r w:rsidRPr="00600759">
        <w:rPr>
          <w:rFonts w:ascii="Times New Roman" w:hAnsi="Times New Roman"/>
          <w:i/>
          <w:sz w:val="24"/>
          <w:szCs w:val="24"/>
          <w:lang w:val="es-ES"/>
        </w:rPr>
        <w:t>Phytophthora</w:t>
      </w:r>
      <w:r w:rsidRPr="00274152">
        <w:rPr>
          <w:rFonts w:ascii="Times New Roman" w:hAnsi="Times New Roman"/>
          <w:sz w:val="24"/>
          <w:szCs w:val="24"/>
          <w:lang w:val="es-ES"/>
        </w:rPr>
        <w:t xml:space="preserve"> identificados mediante el método de </w:t>
      </w:r>
      <w:r>
        <w:rPr>
          <w:rFonts w:ascii="Times New Roman" w:hAnsi="Times New Roman"/>
          <w:sz w:val="24"/>
          <w:szCs w:val="24"/>
          <w:lang w:val="es-ES"/>
        </w:rPr>
        <w:t xml:space="preserve">secuenciación masiva. </w:t>
      </w:r>
      <w:r w:rsidRPr="00600759">
        <w:rPr>
          <w:rFonts w:ascii="Times New Roman" w:hAnsi="Times New Roman"/>
          <w:sz w:val="24"/>
          <w:szCs w:val="24"/>
          <w:lang w:val="es-ES"/>
        </w:rPr>
        <w:t xml:space="preserve">Un total de 8 nuevos </w:t>
      </w:r>
      <w:r>
        <w:rPr>
          <w:rFonts w:ascii="Times New Roman" w:hAnsi="Times New Roman"/>
          <w:sz w:val="24"/>
          <w:szCs w:val="24"/>
          <w:lang w:val="es-ES"/>
        </w:rPr>
        <w:t xml:space="preserve">filotipos de </w:t>
      </w:r>
      <w:r w:rsidRPr="00600759">
        <w:rPr>
          <w:rFonts w:ascii="Times New Roman" w:hAnsi="Times New Roman"/>
          <w:i/>
          <w:sz w:val="24"/>
          <w:szCs w:val="24"/>
          <w:lang w:val="es-ES"/>
        </w:rPr>
        <w:t>Phytophthora</w:t>
      </w:r>
      <w:r w:rsidRPr="00600759">
        <w:rPr>
          <w:rFonts w:ascii="Times New Roman" w:hAnsi="Times New Roman"/>
          <w:sz w:val="24"/>
          <w:szCs w:val="24"/>
          <w:lang w:val="es-ES"/>
        </w:rPr>
        <w:t xml:space="preserve">, no representados en bases de datos públicas, se detectaron en las 15 vías de agua muestreadas. </w:t>
      </w:r>
      <w:r>
        <w:rPr>
          <w:rFonts w:ascii="Times New Roman" w:hAnsi="Times New Roman"/>
          <w:sz w:val="24"/>
          <w:szCs w:val="24"/>
          <w:lang w:val="es-ES"/>
        </w:rPr>
        <w:t xml:space="preserve">Los métodos de secuenciación masiva de amplicones </w:t>
      </w:r>
      <w:r w:rsidRPr="00600759">
        <w:rPr>
          <w:rFonts w:ascii="Times New Roman" w:hAnsi="Times New Roman"/>
          <w:sz w:val="24"/>
          <w:szCs w:val="24"/>
          <w:lang w:val="es-ES"/>
        </w:rPr>
        <w:t xml:space="preserve">que utilizan la combinación de </w:t>
      </w:r>
      <w:r>
        <w:rPr>
          <w:rFonts w:ascii="Times New Roman" w:hAnsi="Times New Roman"/>
          <w:sz w:val="24"/>
          <w:szCs w:val="24"/>
          <w:lang w:val="es-ES"/>
        </w:rPr>
        <w:t>trampas vegetales</w:t>
      </w:r>
      <w:r w:rsidRPr="00600759">
        <w:rPr>
          <w:rFonts w:ascii="Times New Roman" w:hAnsi="Times New Roman"/>
          <w:sz w:val="24"/>
          <w:szCs w:val="24"/>
          <w:lang w:val="es-ES"/>
        </w:rPr>
        <w:t xml:space="preserve"> y filtros del agua </w:t>
      </w:r>
      <w:r>
        <w:rPr>
          <w:rFonts w:ascii="Times New Roman" w:hAnsi="Times New Roman"/>
          <w:sz w:val="24"/>
          <w:szCs w:val="24"/>
          <w:lang w:val="es-ES"/>
        </w:rPr>
        <w:t xml:space="preserve">representan un método </w:t>
      </w:r>
      <w:r w:rsidRPr="00600759">
        <w:rPr>
          <w:rFonts w:ascii="Times New Roman" w:hAnsi="Times New Roman"/>
          <w:sz w:val="24"/>
          <w:szCs w:val="24"/>
          <w:lang w:val="es-ES"/>
        </w:rPr>
        <w:t xml:space="preserve">útil para describir las comunidades y como una herramienta de monitoreo de especies patógenas de </w:t>
      </w:r>
      <w:r w:rsidRPr="00600759">
        <w:rPr>
          <w:rFonts w:ascii="Times New Roman" w:hAnsi="Times New Roman"/>
          <w:i/>
          <w:sz w:val="24"/>
          <w:szCs w:val="24"/>
          <w:lang w:val="es-ES"/>
        </w:rPr>
        <w:t>Phytophthora</w:t>
      </w:r>
      <w:r w:rsidRPr="00600759">
        <w:rPr>
          <w:rFonts w:ascii="Times New Roman" w:hAnsi="Times New Roman"/>
          <w:sz w:val="24"/>
          <w:szCs w:val="24"/>
          <w:lang w:val="es-ES"/>
        </w:rPr>
        <w:t xml:space="preserve"> en ecosistemas acuáticos.</w:t>
      </w:r>
    </w:p>
    <w:p w:rsidR="000079BB" w:rsidRPr="007E3384" w:rsidRDefault="007E3384">
      <w:pPr>
        <w:rPr>
          <w:lang w:val="es-ES"/>
        </w:rPr>
      </w:pPr>
      <w:bookmarkStart w:id="0" w:name="_GoBack"/>
      <w:bookmarkEnd w:id="0"/>
    </w:p>
    <w:sectPr w:rsidR="000079BB" w:rsidRPr="007E33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50"/>
    <w:rsid w:val="00335EA6"/>
    <w:rsid w:val="007E3384"/>
    <w:rsid w:val="00D54F50"/>
    <w:rsid w:val="00FF03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84"/>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84"/>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5025</Characters>
  <Application>Microsoft Office Word</Application>
  <DocSecurity>0</DocSecurity>
  <Lines>41</Lines>
  <Paragraphs>11</Paragraphs>
  <ScaleCrop>false</ScaleCrop>
  <Company>ETSIAMN</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Catalá García</dc:creator>
  <cp:keywords/>
  <dc:description/>
  <cp:lastModifiedBy>Santiago Catalá García</cp:lastModifiedBy>
  <cp:revision>2</cp:revision>
  <dcterms:created xsi:type="dcterms:W3CDTF">2017-05-31T10:53:00Z</dcterms:created>
  <dcterms:modified xsi:type="dcterms:W3CDTF">2017-05-31T10:53:00Z</dcterms:modified>
</cp:coreProperties>
</file>