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8784" w:type="dxa"/>
        <w:tblInd w:w="-11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865"/>
        <w:gridCol w:w="919"/>
      </w:tblGrid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bookmarkStart w:id="0" w:name="_Hlk482487758"/>
            <w:bookmarkStart w:id="1" w:name="_Hlk481085116"/>
            <w:bookmarkStart w:id="2" w:name="_GoBack" w:colFirst="0" w:colLast="0"/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I.- Introducción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7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II.- Objetivos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11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III.- Metodología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</w:tr>
      <w:tr w:rsidR="00C06A06" w:rsidTr="0098215A">
        <w:tc>
          <w:tcPr>
            <w:tcW w:w="7865" w:type="dxa"/>
          </w:tcPr>
          <w:p w:rsidR="00C06A06" w:rsidRDefault="00C06A06" w:rsidP="0098215A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  <w:sz w:val="24"/>
                <w:szCs w:val="24"/>
              </w:rPr>
            </w:pPr>
            <w:r>
              <w:rPr>
                <w:rFonts w:ascii="Bradley Hand ITC" w:eastAsia="Calibri" w:hAnsi="Bradley Hand ITC" w:cs="Times New Roman"/>
                <w:b/>
                <w:sz w:val="24"/>
                <w:szCs w:val="24"/>
              </w:rPr>
              <w:t>PARTE I</w:t>
            </w:r>
          </w:p>
        </w:tc>
        <w:tc>
          <w:tcPr>
            <w:tcW w:w="919" w:type="dxa"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  <w:sz w:val="24"/>
                <w:szCs w:val="24"/>
              </w:rPr>
            </w:pPr>
            <w:r>
              <w:rPr>
                <w:rFonts w:ascii="Bradley Hand ITC" w:eastAsia="Calibri" w:hAnsi="Bradley Hand ITC" w:cs="Times New Roman"/>
                <w:b/>
                <w:sz w:val="24"/>
                <w:szCs w:val="24"/>
              </w:rPr>
              <w:t>CORPUS TEÓRICO</w:t>
            </w:r>
          </w:p>
        </w:tc>
        <w:tc>
          <w:tcPr>
            <w:tcW w:w="919" w:type="dxa"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="Bradley Hand ITC" w:eastAsia="Calibri" w:hAnsi="Bradley Hand ITC" w:cs="Times New Roman"/>
                <w:b/>
                <w:sz w:val="24"/>
                <w:szCs w:val="24"/>
              </w:rPr>
            </w:pPr>
            <w:r>
              <w:rPr>
                <w:rFonts w:ascii="Bradley Hand ITC" w:eastAsia="Calibri" w:hAnsi="Bradley Hand ITC" w:cs="Times New Roman"/>
                <w:b/>
                <w:sz w:val="24"/>
                <w:szCs w:val="24"/>
              </w:rPr>
              <w:t>CAPÍTULO 1</w:t>
            </w:r>
          </w:p>
        </w:tc>
        <w:tc>
          <w:tcPr>
            <w:tcW w:w="919" w:type="dxa"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El Contexto Histórico y Geográfico de Canarias como propulsor del desarrollo del Arte Canario</w:t>
            </w:r>
          </w:p>
        </w:tc>
        <w:tc>
          <w:tcPr>
            <w:tcW w:w="919" w:type="dxa"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C06A06" w:rsidTr="0098215A">
        <w:trPr>
          <w:trHeight w:val="432"/>
        </w:trPr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1.1.- Canarias: Contexto Histórico y Geográfico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19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ind w:left="708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1.1.1.- Las corrientes artísticas en Canarias 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20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708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1.1.2.- La situación Económica y el Desarrollo del Arte en Canarias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27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1.2.- El templo religioso en Canarias: Iglesias y Ermitas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29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708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1.2.1.- Interior del templo religioso. El retablo: función y significado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32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708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1.2.2.- Elementos principales, estructura y morfología del retablo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33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708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1.2.3.- Ensamblaje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37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1.3.- Materiales de fabricación. La utilización de la madera en el retablo canario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</w:tr>
      <w:tr w:rsidR="00C06A06" w:rsidTr="0098215A">
        <w:tc>
          <w:tcPr>
            <w:tcW w:w="7865" w:type="dxa"/>
          </w:tcPr>
          <w:p w:rsidR="00C06A06" w:rsidRDefault="00C06A06" w:rsidP="0098215A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C06A06" w:rsidRDefault="00C06A06" w:rsidP="0098215A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="Bradley Hand ITC" w:eastAsia="Calibri" w:hAnsi="Bradley Hand ITC" w:cs="Times New Roman"/>
                <w:b/>
                <w:sz w:val="24"/>
                <w:szCs w:val="24"/>
              </w:rPr>
            </w:pPr>
            <w:r>
              <w:rPr>
                <w:rFonts w:ascii="Bradley Hand ITC" w:eastAsia="Calibri" w:hAnsi="Bradley Hand ITC" w:cs="Times New Roman"/>
                <w:b/>
                <w:sz w:val="24"/>
                <w:szCs w:val="24"/>
              </w:rPr>
              <w:t>CAPÍTULO 2</w:t>
            </w:r>
          </w:p>
        </w:tc>
        <w:tc>
          <w:tcPr>
            <w:tcW w:w="919" w:type="dxa"/>
          </w:tcPr>
          <w:p w:rsidR="00C06A06" w:rsidRDefault="00C06A06" w:rsidP="0098215A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Evolución del retablo en Canarias. Influencias Artísticas Externas</w:t>
            </w:r>
          </w:p>
        </w:tc>
        <w:tc>
          <w:tcPr>
            <w:tcW w:w="919" w:type="dxa"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2.1.- El retablo barroco en España. Focos de producción, elementos y modos de expresión</w:t>
            </w:r>
          </w:p>
        </w:tc>
        <w:tc>
          <w:tcPr>
            <w:tcW w:w="919" w:type="dxa"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45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2.2.- La evolución del retablo en Canarias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47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708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2.2.1.- El retablo barroco en Canarias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49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708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2.2.2.- Influencias externas en el retablo barroco canario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57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1416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2.2.2.1.- Influencia castellano-andaluza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58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1416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2.2.2.2.- Influencia portuguesa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59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1416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2.2.2.3.- Influencia americana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61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2.3.- El retablo barroco isleño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68</w:t>
            </w:r>
          </w:p>
        </w:tc>
      </w:tr>
      <w:tr w:rsidR="00C06A06" w:rsidTr="0098215A">
        <w:tc>
          <w:tcPr>
            <w:tcW w:w="7865" w:type="dxa"/>
          </w:tcPr>
          <w:p w:rsidR="00C06A06" w:rsidRDefault="00C06A06" w:rsidP="0098215A">
            <w:pPr>
              <w:spacing w:line="276" w:lineRule="auto"/>
              <w:ind w:left="708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="Bradley Hand ITC" w:eastAsia="Calibri" w:hAnsi="Bradley Hand ITC" w:cs="Times New Roman"/>
                <w:b/>
                <w:sz w:val="24"/>
                <w:szCs w:val="24"/>
              </w:rPr>
            </w:pPr>
            <w:r>
              <w:rPr>
                <w:rFonts w:ascii="Bradley Hand ITC" w:eastAsia="Calibri" w:hAnsi="Bradley Hand ITC" w:cs="Times New Roman"/>
                <w:b/>
                <w:sz w:val="24"/>
                <w:szCs w:val="24"/>
              </w:rPr>
              <w:t xml:space="preserve">CAPÍTULO 3 </w:t>
            </w:r>
          </w:p>
        </w:tc>
        <w:tc>
          <w:tcPr>
            <w:tcW w:w="919" w:type="dxa"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La Gomera: Contextualización Geográfica y Localización de Templos y Retablos. Estilos y Estudio Comparativo</w:t>
            </w:r>
          </w:p>
        </w:tc>
        <w:tc>
          <w:tcPr>
            <w:tcW w:w="919" w:type="dxa"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3.1.- La Gomera. Contextualización histórica y geográfica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71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3.2.- Localización de iglesias, ermitas y retablos en la isla de La Gomera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73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708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3.2.1.- Municipio de Agulo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74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708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3.2.2.- Municipio de Alajeró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76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708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3.2.3.- Municipio de Hermigua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77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708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3.2.4.- Municipio de San Sebastián de La Gomera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79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708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3.2.5.- Municipio de Valle Gran Rey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80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ind w:left="708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lastRenderedPageBreak/>
              <w:t>3.2.6.- Municipio de Vallehermoso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81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3.3.- El Patrimonio retablístico de La Gomera. Estado de la cuestión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83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3.4.- Estudio de las diferentes corrientes artísticas del retablo gomero. Características y valoraciones</w:t>
            </w:r>
          </w:p>
        </w:tc>
        <w:tc>
          <w:tcPr>
            <w:tcW w:w="919" w:type="dxa"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84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708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3.4.1.- Retablo barroco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84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1416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I.- Características del retablo barroco de la Iglesia de San Salvador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84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2124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I.II.- Valoraciones del estudio</w:t>
            </w:r>
            <w:r>
              <w:rPr>
                <w:rFonts w:ascii="Calibri Light" w:eastAsia="Calibri" w:hAnsi="Calibri Light" w:cs="Times New Roman"/>
                <w:sz w:val="24"/>
                <w:szCs w:val="24"/>
              </w:rPr>
              <w:tab/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87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1416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II.- Características de los retablos barrocos de la Iglesia de Santo    Domingo de Guzmán</w:t>
            </w:r>
            <w:r>
              <w:rPr>
                <w:rFonts w:ascii="Calibri Light" w:eastAsia="Calibri" w:hAnsi="Calibri Light" w:cs="Times New Roman"/>
                <w:sz w:val="24"/>
                <w:szCs w:val="24"/>
              </w:rPr>
              <w:tab/>
            </w:r>
          </w:p>
        </w:tc>
        <w:tc>
          <w:tcPr>
            <w:tcW w:w="919" w:type="dxa"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87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2124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II.I.- Valoraciones del estudio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97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1416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III.- Características de los retablos barrocos de la Iglesia de Ntra. Sra. de la Asunción</w:t>
            </w:r>
            <w:r>
              <w:rPr>
                <w:rFonts w:ascii="Calibri Light" w:eastAsia="Calibri" w:hAnsi="Calibri Light" w:cs="Times New Roman"/>
                <w:sz w:val="24"/>
                <w:szCs w:val="24"/>
              </w:rPr>
              <w:tab/>
            </w:r>
          </w:p>
        </w:tc>
        <w:tc>
          <w:tcPr>
            <w:tcW w:w="919" w:type="dxa"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98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2124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III.I.- Valoraciones del estudio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110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1416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IV.- Características generales del retablo barroco de la isla de La Gomera</w:t>
            </w:r>
          </w:p>
        </w:tc>
        <w:tc>
          <w:tcPr>
            <w:tcW w:w="919" w:type="dxa"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color w:val="C00000"/>
                <w:sz w:val="24"/>
                <w:szCs w:val="24"/>
              </w:rPr>
            </w:pPr>
          </w:p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color w:val="C00000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111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2124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IV.I.- Valoraciones del retablo barroco gomero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112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708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3.4.2.- Retablo neogótico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113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1416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I.- Características del retablo neogótico de la isla de La Gomera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113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2124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I.I. Valoraciones del estudio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122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708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3.4.3.- Retablo neorrenacentista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123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1416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I.- Características del retablo neorrenacentista en la isla de La Gomera</w:t>
            </w:r>
          </w:p>
        </w:tc>
        <w:tc>
          <w:tcPr>
            <w:tcW w:w="919" w:type="dxa"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123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2124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I.I. Valoraciones del estudio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125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708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3.4.4.- Retablo neobarroco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126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1416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I.- Características del retablo neobarroco de la isla de La Gomera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126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2124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 xml:space="preserve">I.I.- Valoraciones del estudio 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134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708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3.4.5.- Características del retablo de Ntra. Sra. de Guadalupe en la ermita de Ntra. Sra. de Guadalupe</w:t>
            </w:r>
          </w:p>
        </w:tc>
        <w:tc>
          <w:tcPr>
            <w:tcW w:w="919" w:type="dxa"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134</w:t>
            </w:r>
          </w:p>
        </w:tc>
      </w:tr>
      <w:tr w:rsidR="00C06A06" w:rsidTr="0098215A">
        <w:tc>
          <w:tcPr>
            <w:tcW w:w="7865" w:type="dxa"/>
          </w:tcPr>
          <w:p w:rsidR="00C06A06" w:rsidRDefault="00C06A06" w:rsidP="0098215A">
            <w:pPr>
              <w:spacing w:line="276" w:lineRule="auto"/>
              <w:ind w:left="1416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="Bradley Hand ITC" w:eastAsia="Calibri" w:hAnsi="Bradley Hand ITC" w:cs="Times New Roman"/>
                <w:b/>
                <w:sz w:val="24"/>
                <w:szCs w:val="24"/>
              </w:rPr>
            </w:pPr>
            <w:r>
              <w:rPr>
                <w:rFonts w:ascii="Bradley Hand ITC" w:eastAsia="Calibri" w:hAnsi="Bradley Hand ITC" w:cs="Times New Roman"/>
                <w:b/>
                <w:sz w:val="24"/>
                <w:szCs w:val="24"/>
              </w:rPr>
              <w:t>CAPÍTULO 4</w:t>
            </w:r>
          </w:p>
        </w:tc>
        <w:tc>
          <w:tcPr>
            <w:tcW w:w="919" w:type="dxa"/>
          </w:tcPr>
          <w:p w:rsidR="00C06A06" w:rsidRDefault="00C06A06" w:rsidP="0098215A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El Retablo Barroco en la Isla de La Gomera y el Retablo Barroco Propio o Isleño. Estudio Comparativo</w:t>
            </w:r>
          </w:p>
        </w:tc>
        <w:tc>
          <w:tcPr>
            <w:tcW w:w="919" w:type="dxa"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4.1.- El retablo barroco en la isla de La Gomera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139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 xml:space="preserve">4.2- El retablo barroco gomero y el retablo barroco propio o isleño 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141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708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4.2.1.- Estudio   comparativo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141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708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4.2.2.- Estudio comparativo entre el retablo barroco isleño y el retablo barroco gomero</w:t>
            </w:r>
          </w:p>
        </w:tc>
        <w:tc>
          <w:tcPr>
            <w:tcW w:w="919" w:type="dxa"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141</w:t>
            </w:r>
          </w:p>
        </w:tc>
      </w:tr>
      <w:tr w:rsidR="00C06A06" w:rsidRPr="00702EF0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1416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4.2.2.1.- Remates, elementos sustentantes y aspectos decorativos</w:t>
            </w:r>
          </w:p>
        </w:tc>
        <w:tc>
          <w:tcPr>
            <w:tcW w:w="919" w:type="dxa"/>
          </w:tcPr>
          <w:p w:rsidR="00C06A06" w:rsidRPr="00702EF0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C06A06" w:rsidRPr="00702EF0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02EF0">
              <w:rPr>
                <w:rFonts w:asciiTheme="majorHAnsi" w:eastAsia="Calibri" w:hAnsiTheme="majorHAnsi" w:cs="Times New Roman"/>
                <w:sz w:val="24"/>
                <w:szCs w:val="24"/>
              </w:rPr>
              <w:t>146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4.3.- Recatalogación del retablo barroco canario. Inclusión del retablo barroco de la isla de La Gomera.</w:t>
            </w:r>
          </w:p>
        </w:tc>
        <w:tc>
          <w:tcPr>
            <w:tcW w:w="919" w:type="dxa"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151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4.4.- Esquema de las características del retablo barroco isleño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153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708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4.4.1.- Valoraciones del estudio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155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4.5.- Esquema de catalogación del retablo barroco gomero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155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708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4.5.1.- Valoraciones del estudio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color w:val="FF0000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158</w:t>
            </w:r>
          </w:p>
        </w:tc>
      </w:tr>
      <w:tr w:rsidR="00C06A06" w:rsidTr="0098215A">
        <w:tc>
          <w:tcPr>
            <w:tcW w:w="7865" w:type="dxa"/>
          </w:tcPr>
          <w:p w:rsidR="00C06A06" w:rsidRDefault="00C06A06" w:rsidP="0098215A">
            <w:pPr>
              <w:spacing w:line="276" w:lineRule="auto"/>
              <w:ind w:left="708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="Bradley Hand ITC" w:eastAsia="Calibri" w:hAnsi="Bradley Hand ITC" w:cs="Times New Roman"/>
                <w:b/>
                <w:sz w:val="24"/>
                <w:szCs w:val="24"/>
              </w:rPr>
            </w:pPr>
            <w:r>
              <w:rPr>
                <w:rFonts w:ascii="Bradley Hand ITC" w:eastAsia="Calibri" w:hAnsi="Bradley Hand ITC" w:cs="Times New Roman"/>
                <w:b/>
                <w:sz w:val="24"/>
                <w:szCs w:val="24"/>
              </w:rPr>
              <w:t>CAPÍTULO 5</w:t>
            </w:r>
          </w:p>
        </w:tc>
        <w:tc>
          <w:tcPr>
            <w:tcW w:w="919" w:type="dxa"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color w:val="FF0000"/>
                <w:sz w:val="24"/>
                <w:szCs w:val="24"/>
              </w:rPr>
            </w:pP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Materiales de fabricación en los retablos gomeros</w:t>
            </w:r>
          </w:p>
        </w:tc>
        <w:tc>
          <w:tcPr>
            <w:tcW w:w="919" w:type="dxa"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 xml:space="preserve">5.1- La madera como elemento constructivo 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163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708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5.1.1- La madera en los retablos de la isla de La Gomera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163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5.2.- Técnicas aplicadas a la identificación de las maderas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165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5.3.- Identificación de las maderas en la retablística de La Gomera. Resultados de los cortes anatómicos.</w:t>
            </w:r>
          </w:p>
        </w:tc>
        <w:tc>
          <w:tcPr>
            <w:tcW w:w="919" w:type="dxa"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166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708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5.3.1.- Interpretación de los resultados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174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5.4.- Tipos de maderas utilizadas en los retablos gomeros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175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ind w:left="708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5.4.1. Pino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175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ind w:left="708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5.4.2. Cedro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177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ind w:left="708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5.4.3.- Abeto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177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708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5.4.4. Caoba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178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 xml:space="preserve">5.5.- La Policromía en el Retablo 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178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 xml:space="preserve">5.6.-La Policromía en los Retablos Gomeros. 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tabs>
                <w:tab w:val="left" w:pos="338"/>
              </w:tabs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ab/>
              <w:t>179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708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5.6.1.- Pruebas Analíticas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180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708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5.6.2.- Estudio estratigráfico mediante SEM/EDX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181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ind w:left="708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5.6.3.- Espectroscopía FT-IR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181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5.7.- Resultados analíticos de los estratos pictóricos por retablo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182</w:t>
            </w:r>
          </w:p>
        </w:tc>
      </w:tr>
      <w:tr w:rsidR="00C06A06" w:rsidTr="0098215A">
        <w:tc>
          <w:tcPr>
            <w:tcW w:w="7865" w:type="dxa"/>
          </w:tcPr>
          <w:p w:rsidR="00C06A06" w:rsidRDefault="00C06A06" w:rsidP="0098215A">
            <w:pPr>
              <w:spacing w:line="276" w:lineRule="auto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="Bradley Hand ITC" w:eastAsia="Calibri" w:hAnsi="Bradley Hand ITC" w:cs="Times New Roman"/>
                <w:b/>
                <w:sz w:val="24"/>
                <w:szCs w:val="24"/>
              </w:rPr>
            </w:pPr>
            <w:r>
              <w:rPr>
                <w:rFonts w:ascii="Bradley Hand ITC" w:eastAsia="Calibri" w:hAnsi="Bradley Hand ITC" w:cs="Times New Roman"/>
                <w:b/>
                <w:sz w:val="24"/>
                <w:szCs w:val="24"/>
              </w:rPr>
              <w:t>CAPÍTULO 6</w:t>
            </w:r>
          </w:p>
        </w:tc>
        <w:tc>
          <w:tcPr>
            <w:tcW w:w="919" w:type="dxa"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Propuesta para una Puesta en Valor y Desarrollo del Patrimonio de La Gomera</w:t>
            </w:r>
          </w:p>
        </w:tc>
        <w:tc>
          <w:tcPr>
            <w:tcW w:w="919" w:type="dxa"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6.1- Propuesta y Puesta en Valor del Patrimonio en La Gomera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187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6.2.- Obras patrimoniales: descubrir, mantener y valorar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187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6.3.- Gestión del Patrimonio Histórico de Canarias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190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6.4.- Propuestas para una puesta en valor y desarrollo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193</w:t>
            </w:r>
          </w:p>
        </w:tc>
      </w:tr>
      <w:tr w:rsidR="00C06A06" w:rsidTr="0098215A">
        <w:tc>
          <w:tcPr>
            <w:tcW w:w="7865" w:type="dxa"/>
          </w:tcPr>
          <w:p w:rsidR="00C06A06" w:rsidRDefault="00C06A06" w:rsidP="0098215A">
            <w:pPr>
              <w:spacing w:line="276" w:lineRule="auto"/>
              <w:jc w:val="center"/>
              <w:rPr>
                <w:rFonts w:ascii="Bradley Hand ITC" w:eastAsia="Batang" w:hAnsi="Bradley Hand ITC" w:cs="Times New Roman"/>
                <w:b/>
                <w:sz w:val="24"/>
                <w:szCs w:val="24"/>
              </w:rPr>
            </w:pPr>
          </w:p>
          <w:p w:rsidR="00C06A06" w:rsidRDefault="00C06A06" w:rsidP="0098215A">
            <w:pPr>
              <w:spacing w:line="276" w:lineRule="auto"/>
              <w:jc w:val="center"/>
              <w:rPr>
                <w:rFonts w:ascii="Bradley Hand ITC" w:eastAsia="Batang" w:hAnsi="Bradley Hand ITC" w:cs="Times New Roman"/>
                <w:b/>
                <w:sz w:val="24"/>
                <w:szCs w:val="24"/>
              </w:rPr>
            </w:pPr>
          </w:p>
          <w:p w:rsidR="00C06A06" w:rsidRDefault="00C06A06" w:rsidP="0098215A">
            <w:pPr>
              <w:spacing w:line="276" w:lineRule="auto"/>
              <w:jc w:val="center"/>
              <w:rPr>
                <w:rFonts w:ascii="Bradley Hand ITC" w:eastAsia="Batang" w:hAnsi="Bradley Hand ITC" w:cs="Times New Roman"/>
                <w:b/>
                <w:sz w:val="24"/>
                <w:szCs w:val="24"/>
              </w:rPr>
            </w:pPr>
          </w:p>
          <w:p w:rsidR="00C06A06" w:rsidRDefault="00C06A06" w:rsidP="0098215A">
            <w:pPr>
              <w:spacing w:line="276" w:lineRule="auto"/>
              <w:jc w:val="center"/>
              <w:rPr>
                <w:rFonts w:ascii="Bradley Hand ITC" w:eastAsia="Batang" w:hAnsi="Bradley Hand ITC" w:cs="Times New Roman"/>
                <w:b/>
                <w:sz w:val="24"/>
                <w:szCs w:val="24"/>
              </w:rPr>
            </w:pPr>
            <w:r>
              <w:rPr>
                <w:rFonts w:ascii="Bradley Hand ITC" w:eastAsia="Batang" w:hAnsi="Bradley Hand ITC" w:cs="Times New Roman"/>
                <w:b/>
                <w:sz w:val="24"/>
                <w:szCs w:val="24"/>
              </w:rPr>
              <w:t>PARTE II</w:t>
            </w:r>
          </w:p>
        </w:tc>
        <w:tc>
          <w:tcPr>
            <w:tcW w:w="919" w:type="dxa"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center"/>
              <w:rPr>
                <w:rFonts w:ascii="Bradley Hand ITC" w:eastAsia="Batang" w:hAnsi="Bradley Hand ITC" w:cs="Times New Roman"/>
                <w:b/>
                <w:sz w:val="24"/>
                <w:szCs w:val="24"/>
              </w:rPr>
            </w:pPr>
            <w:r>
              <w:rPr>
                <w:rFonts w:ascii="Bradley Hand ITC" w:eastAsia="Batang" w:hAnsi="Bradley Hand ITC" w:cs="Times New Roman"/>
                <w:b/>
                <w:sz w:val="24"/>
                <w:szCs w:val="24"/>
              </w:rPr>
              <w:t>CORPUS PRÁCTICO</w:t>
            </w:r>
          </w:p>
        </w:tc>
        <w:tc>
          <w:tcPr>
            <w:tcW w:w="919" w:type="dxa"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="Bradley Hand ITC" w:eastAsia="Calibri" w:hAnsi="Bradley Hand ITC" w:cs="Times New Roman"/>
                <w:b/>
                <w:sz w:val="24"/>
                <w:szCs w:val="24"/>
              </w:rPr>
            </w:pPr>
            <w:r>
              <w:rPr>
                <w:rFonts w:ascii="Bradley Hand ITC" w:eastAsia="Calibri" w:hAnsi="Bradley Hand ITC" w:cs="Times New Roman"/>
                <w:b/>
                <w:sz w:val="24"/>
                <w:szCs w:val="24"/>
              </w:rPr>
              <w:t>CAPÍTULO 7</w:t>
            </w:r>
          </w:p>
        </w:tc>
        <w:tc>
          <w:tcPr>
            <w:tcW w:w="919" w:type="dxa"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Fichas Catálogo</w:t>
            </w:r>
          </w:p>
        </w:tc>
        <w:tc>
          <w:tcPr>
            <w:tcW w:w="919" w:type="dxa"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7.-Estructura y Fichas Catálogo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200</w:t>
            </w:r>
          </w:p>
        </w:tc>
      </w:tr>
      <w:tr w:rsidR="00C06A06" w:rsidTr="0098215A">
        <w:tc>
          <w:tcPr>
            <w:tcW w:w="7865" w:type="dxa"/>
          </w:tcPr>
          <w:p w:rsidR="00C06A06" w:rsidRDefault="00C06A06" w:rsidP="0098215A">
            <w:pPr>
              <w:spacing w:line="276" w:lineRule="auto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spacing w:line="276" w:lineRule="auto"/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IV.- Resultados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483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r>
              <w:rPr>
                <w:rFonts w:ascii="Calibri Light" w:eastAsia="Calibri" w:hAnsi="Calibri Light" w:cs="Times New Roman"/>
                <w:sz w:val="24"/>
                <w:szCs w:val="24"/>
              </w:rPr>
              <w:t>V.- Conclusiones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493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VI.- Bibliografía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495</w:t>
            </w:r>
          </w:p>
        </w:tc>
      </w:tr>
      <w:tr w:rsidR="00C06A06" w:rsidTr="0098215A">
        <w:tc>
          <w:tcPr>
            <w:tcW w:w="7865" w:type="dxa"/>
          </w:tcPr>
          <w:p w:rsidR="00C06A06" w:rsidRDefault="00C06A06" w:rsidP="0098215A">
            <w:pPr>
              <w:rPr>
                <w:rFonts w:ascii="Calibri Light" w:eastAsia="Calibri" w:hAnsi="Calibri Light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rPr>
                <w:rFonts w:ascii="Bradley Hand ITC" w:eastAsia="Calibri" w:hAnsi="Bradley Hand ITC" w:cs="Times New Roman"/>
                <w:b/>
                <w:sz w:val="24"/>
                <w:szCs w:val="24"/>
              </w:rPr>
            </w:pPr>
            <w:r>
              <w:rPr>
                <w:rFonts w:ascii="Bradley Hand ITC" w:eastAsia="Calibri" w:hAnsi="Bradley Hand ITC" w:cs="Times New Roman"/>
                <w:b/>
                <w:sz w:val="24"/>
                <w:szCs w:val="24"/>
              </w:rPr>
              <w:t>ANEXOS</w:t>
            </w:r>
          </w:p>
        </w:tc>
        <w:tc>
          <w:tcPr>
            <w:tcW w:w="919" w:type="dxa"/>
          </w:tcPr>
          <w:p w:rsidR="00C06A06" w:rsidRDefault="00C06A06" w:rsidP="0098215A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Anexo 1.- Glosario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509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pPr>
              <w:jc w:val="both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Anexo 2.- Informe analítico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519</w:t>
            </w:r>
          </w:p>
        </w:tc>
      </w:tr>
      <w:tr w:rsidR="00C06A06" w:rsidTr="0098215A">
        <w:tc>
          <w:tcPr>
            <w:tcW w:w="7865" w:type="dxa"/>
            <w:hideMark/>
          </w:tcPr>
          <w:p w:rsidR="00C06A06" w:rsidRDefault="00C06A06" w:rsidP="0098215A">
            <w:r>
              <w:rPr>
                <w:rFonts w:ascii="Calibri Light" w:eastAsia="Calibri" w:hAnsi="Calibri Light" w:cs="Times New Roman"/>
                <w:sz w:val="24"/>
                <w:szCs w:val="24"/>
              </w:rPr>
              <w:t>Anexo 3.- Índice de imágenes</w:t>
            </w:r>
          </w:p>
        </w:tc>
        <w:tc>
          <w:tcPr>
            <w:tcW w:w="919" w:type="dxa"/>
            <w:hideMark/>
          </w:tcPr>
          <w:p w:rsidR="00C06A06" w:rsidRDefault="00C06A06" w:rsidP="0098215A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543</w:t>
            </w:r>
          </w:p>
        </w:tc>
      </w:tr>
      <w:tr w:rsidR="00C06A06" w:rsidTr="0098215A">
        <w:tc>
          <w:tcPr>
            <w:tcW w:w="7865" w:type="dxa"/>
          </w:tcPr>
          <w:p w:rsidR="00C06A06" w:rsidRDefault="00C06A06" w:rsidP="0098215A">
            <w:pPr>
              <w:spacing w:line="276" w:lineRule="auto"/>
              <w:jc w:val="both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C06A06" w:rsidRDefault="00C06A06" w:rsidP="0098215A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bookmarkEnd w:id="0"/>
        <w:bookmarkEnd w:id="1"/>
      </w:tr>
      <w:bookmarkEnd w:id="2"/>
    </w:tbl>
    <w:p w:rsidR="00C06A06" w:rsidRDefault="00C06A06"/>
    <w:sectPr w:rsidR="00C06A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06"/>
    <w:rsid w:val="00C0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A1FD6-DF6B-49D2-81A1-1538048E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A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6A06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Calero</dc:creator>
  <cp:keywords/>
  <dc:description/>
  <cp:lastModifiedBy>María José Calero</cp:lastModifiedBy>
  <cp:revision>1</cp:revision>
  <dcterms:created xsi:type="dcterms:W3CDTF">2017-11-02T15:42:00Z</dcterms:created>
  <dcterms:modified xsi:type="dcterms:W3CDTF">2017-11-02T15:43:00Z</dcterms:modified>
</cp:coreProperties>
</file>