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4" w:type="dxa"/>
        <w:tblInd w:w="-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865"/>
        <w:gridCol w:w="919"/>
      </w:tblGrid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bookmarkStart w:id="0" w:name="_Hlk482487758"/>
            <w:bookmarkStart w:id="1" w:name="_Hlk481085116"/>
            <w:bookmarkStart w:id="2" w:name="_GoBack" w:colFirst="0" w:colLast="0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I.- Introducción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II.- Objetivos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III.- Metodología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PARTE I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CORPUS TEÓRICO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1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El Contexto Histórico y Geográfico de Canarias como propulsor del desarrollo del Arte Canario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rPr>
          <w:trHeight w:val="432"/>
        </w:trPr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1.1.- Canarias: Contexto Histórico y Geográfico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1.1.1.- Las corrientes artísticas en Canarias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1.1.2.- La situación Económica y el Desarrollo del Arte en Canarias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1.2.- El templo religioso en Canarias: Iglesias y Ermitas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1.2.1.- Interior del templo religioso. El retablo: función y significado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32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1.2.2.- Elementos principales, estructura y morfología del retablo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1.2.3.- Ensamblaje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1.3.- Materiales de fabricación. La utilización de la madera en el retablo canario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2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Evolución del retablo en Canarias. Influencias Artísticas Externas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2.1.- El retablo barroco en España. Focos de producción, elementos y modos de expresión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2.2.- La evolución del retablo en Canarias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2.2.1.- El retablo barroco en Canarias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2.2.2.- Influencias externas en el retablo barroco canario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2.2.2.1.- Influencia castellano-andaluza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2.2.2.2.- Influencia portuguesa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2.2.2.3.- Influencia americana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2.3.- El retablo barroco isleño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 xml:space="preserve">CAPÍTULO 3 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La Gomera: Contextualización Geográfica y Localización de Templos y Retablos. Estilos y Estudio Comparativo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3.1.- La Gomera. Contextualización histórica y geográfica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3.2.- Localización de iglesias, ermitas y retablos en la isla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3.2.1.- Municipio de Agulo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3.2.2.- Municipio de Alajeró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76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3.2.3.- Municipio de Hermigua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3.2.4.- Municipio de San Sebastián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3.2.5.- Municipio de Valle Gran Rey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80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ind w:left="7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lastRenderedPageBreak/>
              <w:t>3.2.6.- Municipio de Vallehermoso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3.3.- El Patrimonio retablístico de La Gomera. Estado de la cuestión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3.4.- Estudio de las diferentes corrientes artísticas del retablo gomero. Características y valoraciones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3.4.1.- Retablo barroco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I.- Características del retablo barroco de la Iglesia de San Salvador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I.II.- Valoraciones del estudio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ab/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II.- Características de los retablos barrocos de la Iglesia de Santo    Domingo de Guzmán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ab/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II.I.-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III.- Características de los retablos barrocos de la Iglesia de Ntra. Sra. de la Asunción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ab/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98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III.I.-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110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IV.- Características generales del retablo barroco de la isla de La Gomera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color w:val="C00000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color w:val="C00000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IV.I.- Valoraciones del retablo barroco gomero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112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3.4.2.- Retablo neogótico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I.- Características del retablo neogótico de la isla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I.I.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122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3.4.3.- Retablo neorrenacentista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I.- Características del retablo neorrenacentista en la isla de La Gomera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I.I.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3.4.4.- Retablo neobarroco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126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I.- Características del retablo neobarroco de la isla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126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2124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I.I.- Valoraciones del estudio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3.4.5.- Características del retablo de Ntra. Sra. de Guadalupe en la ermita de Ntra. Sra. de Guadalupe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134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4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El Retablo Barroco en la Isla de La Gomera y el Retablo Barroco Propio o Isleño. Estudio Comparativo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4.1.- El retablo barroco en la isla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4.2- El retablo barroco gomero y el retablo barroco propio o isleño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4.2.1.- Estudio   comparativo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4.2.2.- Estudio comparativo entre el retablo barroco isleño y el retablo barroco gomero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141</w:t>
            </w:r>
          </w:p>
        </w:tc>
      </w:tr>
      <w:tr w:rsidR="00C06A06" w:rsidRPr="00702EF0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1416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4.2.2.1.- Remates, elementos sustentantes y aspectos decorativos</w:t>
            </w:r>
          </w:p>
        </w:tc>
        <w:tc>
          <w:tcPr>
            <w:tcW w:w="919" w:type="dxa"/>
          </w:tcPr>
          <w:p w:rsidR="00C06A06" w:rsidRPr="00702EF0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Pr="00702EF0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02EF0">
              <w:rPr>
                <w:rFonts w:asciiTheme="majorHAnsi" w:eastAsia="Calibri" w:hAnsiTheme="majorHAnsi" w:cs="Times New Roman"/>
                <w:sz w:val="24"/>
                <w:szCs w:val="24"/>
              </w:rPr>
              <w:t>146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4.3.- Recatalogación del retablo barroco canario. Inclusión del retablo barroco de la isla de La Gomera.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4.4.- Esquema de las características del retablo barroco isleño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4.4.1.-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4.5.- Esquema de catalogación del retablo barroco gomero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4.5.1.- Valoraciones del estudio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158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5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Materiales de fabricación en los retablos gomeros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5.1- La madera como elemento constructivo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5.1.1- La madera en los retablos de la isla de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5.2.- Técnicas aplicadas a la identificación de las maderas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5.3.- Identificación de las maderas en la retablística de La Gomera. Resultados de los cortes anatómicos.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166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5.3.1.- Interpretación de los resultados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174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5.4.- Tipos de maderas utilizadas en los retablos gomeros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5.4.1. Pino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175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5.4.2. Cedro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ind w:left="70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5.4.3.- Abeto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5.4.4. Caoba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178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5.5.- La Policromía en el Retablo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178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5.6.-La Policromía en los Retablos Gomeros. 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tabs>
                <w:tab w:val="left" w:pos="338"/>
              </w:tabs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>179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5.6.1.- Pruebas Analíticas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180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5.6.2.- Estudio estratigráfico mediante SEM/EDX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ind w:left="708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5.6.3.- Espectroscopía FT-IR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181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5.7.- Resultados analíticos de los estratos pictóricos por retablo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182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6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Propuesta para una Puesta en Valor y Desarrollo del Patrimonio de La Gomera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6.1- Propuesta y Puesta en Valor del Patrimonio en La Gomera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6.2.- Obras patrimoniales: descubrir, mantener y valorar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187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6.3.- Gestión del Patrimonio Histórico de Canarias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190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6.4.- Propuestas para una puesta en valor y desarrollo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193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Batang" w:hAnsi="Bradley Hand ITC" w:cs="Times New Roman"/>
                <w:b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Batang" w:hAnsi="Bradley Hand ITC" w:cs="Times New Roman"/>
                <w:b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Batang" w:hAnsi="Bradley Hand ITC" w:cs="Times New Roman"/>
                <w:b/>
                <w:sz w:val="24"/>
                <w:szCs w:val="24"/>
              </w:rPr>
            </w:pPr>
          </w:p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Batang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Batang" w:hAnsi="Bradley Hand ITC" w:cs="Times New Roman"/>
                <w:b/>
                <w:sz w:val="24"/>
                <w:szCs w:val="24"/>
              </w:rPr>
              <w:t>PARTE II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center"/>
              <w:rPr>
                <w:rFonts w:ascii="Bradley Hand ITC" w:eastAsia="Batang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Batang" w:hAnsi="Bradley Hand ITC" w:cs="Times New Roman"/>
                <w:b/>
                <w:sz w:val="24"/>
                <w:szCs w:val="24"/>
              </w:rPr>
              <w:t>CORPUS PRÁCTICO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CAPÍTULO 7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Fichas Catálogo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7.-Estructura y Fichas Catálogo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200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IV.- Resultados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483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r>
              <w:rPr>
                <w:rFonts w:ascii="Calibri Light" w:eastAsia="Calibri" w:hAnsi="Calibri Light" w:cs="Times New Roman"/>
                <w:sz w:val="24"/>
                <w:szCs w:val="24"/>
              </w:rPr>
              <w:t>V.- Conclusiones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493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VI.- Bibliografía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495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</w:pPr>
            <w:r>
              <w:rPr>
                <w:rFonts w:ascii="Bradley Hand ITC" w:eastAsia="Calibri" w:hAnsi="Bradley Hand ITC" w:cs="Times New Roman"/>
                <w:b/>
                <w:sz w:val="24"/>
                <w:szCs w:val="24"/>
              </w:rPr>
              <w:t>ANEXOS</w:t>
            </w: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Anexo 1.- Glosario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509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pPr>
              <w:jc w:val="both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>Anexo 2.- Informe analítico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519</w:t>
            </w:r>
          </w:p>
        </w:tc>
      </w:tr>
      <w:tr w:rsidR="00C06A06" w:rsidTr="0098215A">
        <w:tc>
          <w:tcPr>
            <w:tcW w:w="7865" w:type="dxa"/>
            <w:hideMark/>
          </w:tcPr>
          <w:p w:rsidR="00C06A06" w:rsidRDefault="00C06A06" w:rsidP="0098215A">
            <w:r>
              <w:rPr>
                <w:rFonts w:ascii="Calibri Light" w:eastAsia="Calibri" w:hAnsi="Calibri Light" w:cs="Times New Roman"/>
                <w:sz w:val="24"/>
                <w:szCs w:val="24"/>
              </w:rPr>
              <w:t>Anexo 3.- Índice de imágenes</w:t>
            </w:r>
          </w:p>
        </w:tc>
        <w:tc>
          <w:tcPr>
            <w:tcW w:w="919" w:type="dxa"/>
            <w:hideMark/>
          </w:tcPr>
          <w:p w:rsidR="00C06A06" w:rsidRDefault="00C06A06" w:rsidP="0098215A">
            <w:pPr>
              <w:spacing w:line="276" w:lineRule="auto"/>
              <w:jc w:val="right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543</w:t>
            </w:r>
          </w:p>
        </w:tc>
      </w:tr>
      <w:tr w:rsidR="00C06A06" w:rsidTr="0098215A">
        <w:tc>
          <w:tcPr>
            <w:tcW w:w="7865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="Calibri Light" w:eastAsia="Calibri" w:hAnsi="Calibri Light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C06A06" w:rsidRDefault="00C06A06" w:rsidP="0098215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bookmarkEnd w:id="0"/>
        <w:bookmarkEnd w:id="1"/>
      </w:tr>
      <w:bookmarkEnd w:id="2"/>
    </w:tbl>
    <w:p w:rsidR="00C06A06" w:rsidRDefault="00C06A06"/>
    <w:sectPr w:rsidR="00C0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06"/>
    <w:rsid w:val="00C0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A1FD6-DF6B-49D2-81A1-1538048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A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Calero</dc:creator>
  <cp:keywords/>
  <dc:description/>
  <cp:lastModifiedBy>María José Calero</cp:lastModifiedBy>
  <cp:revision>1</cp:revision>
  <dcterms:created xsi:type="dcterms:W3CDTF">2017-11-02T15:42:00Z</dcterms:created>
  <dcterms:modified xsi:type="dcterms:W3CDTF">2017-11-02T15:43:00Z</dcterms:modified>
</cp:coreProperties>
</file>