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2"/>
          <w:lang w:val="en-US" w:eastAsia="en-US"/>
        </w:rPr>
        <w:id w:val="605857595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2"/>
        </w:rPr>
      </w:sdtEndPr>
      <w:sdtContent>
        <w:p w:rsidR="009E2E87" w:rsidRPr="00FA6097" w:rsidRDefault="009E2E87" w:rsidP="009E2E87">
          <w:pPr>
            <w:pStyle w:val="TtulodeTDC"/>
            <w:jc w:val="center"/>
            <w:rPr>
              <w:rFonts w:asciiTheme="minorHAnsi" w:hAnsiTheme="minorHAnsi"/>
              <w:b/>
              <w:color w:val="A6A6A6" w:themeColor="background1" w:themeShade="A6"/>
            </w:rPr>
          </w:pPr>
          <w:r w:rsidRPr="00FA6097">
            <w:rPr>
              <w:rFonts w:asciiTheme="minorHAnsi" w:hAnsiTheme="minorHAnsi"/>
              <w:b/>
              <w:color w:val="A6A6A6" w:themeColor="background1" w:themeShade="A6"/>
            </w:rPr>
            <w:t>ÍNDICE</w:t>
          </w:r>
        </w:p>
        <w:p w:rsidR="009E2E87" w:rsidRPr="008E311C" w:rsidRDefault="009E2E87" w:rsidP="009E2E87">
          <w:pPr>
            <w:pStyle w:val="TDC1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r w:rsidRPr="008E311C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8E311C">
            <w:rPr>
              <w:rFonts w:asciiTheme="minorHAnsi" w:hAnsiTheme="minorHAnsi"/>
              <w:sz w:val="22"/>
              <w:szCs w:val="22"/>
            </w:rPr>
            <w:instrText xml:space="preserve"> TOC \o "1-4" \h \z \u </w:instrText>
          </w:r>
          <w:r w:rsidRPr="008E311C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499575797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Agradecimientos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_Toc499575797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1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798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Resumen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_Toc499575798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1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799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</w:rPr>
              <w:t>Abstract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_Toc499575799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1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00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</w:rPr>
              <w:t>Resum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_Toc499575800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1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01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Introducción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_Toc499575801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1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02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Introducción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_Toc499575802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22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Default="009E2E87" w:rsidP="009E2E87">
          <w:pPr>
            <w:pStyle w:val="TDC1"/>
            <w:tabs>
              <w:tab w:val="right" w:leader="dot" w:pos="6766"/>
            </w:tabs>
            <w:rPr>
              <w:rStyle w:val="Hipervnculo"/>
              <w:rFonts w:asciiTheme="minorHAnsi" w:hAnsiTheme="minorHAnsi"/>
              <w:noProof/>
              <w:sz w:val="22"/>
              <w:szCs w:val="22"/>
            </w:rPr>
          </w:pPr>
        </w:p>
        <w:p w:rsidR="009E2E87" w:rsidRDefault="009E2E87" w:rsidP="009E2E87">
          <w:pPr>
            <w:pStyle w:val="TDC1"/>
            <w:tabs>
              <w:tab w:val="right" w:leader="dot" w:pos="6766"/>
            </w:tabs>
            <w:rPr>
              <w:rStyle w:val="Hipervnculo"/>
              <w:rFonts w:asciiTheme="minorHAnsi" w:hAnsiTheme="minorHAnsi"/>
              <w:noProof/>
              <w:sz w:val="22"/>
              <w:szCs w:val="22"/>
            </w:rPr>
          </w:pPr>
        </w:p>
        <w:p w:rsidR="009E2E87" w:rsidRPr="008E311C" w:rsidRDefault="009E2E87" w:rsidP="009E2E87">
          <w:pPr>
            <w:pStyle w:val="TDC1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03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PARTE I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_Toc499575803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27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Default="009E2E87" w:rsidP="009E2E87">
          <w:pPr>
            <w:pStyle w:val="TDC2"/>
            <w:tabs>
              <w:tab w:val="right" w:leader="dot" w:pos="6766"/>
            </w:tabs>
            <w:rPr>
              <w:rStyle w:val="Hipervnculo"/>
              <w:rFonts w:asciiTheme="minorHAnsi" w:hAnsiTheme="minorHAnsi"/>
              <w:noProof/>
              <w:sz w:val="22"/>
              <w:szCs w:val="22"/>
            </w:rPr>
          </w:pPr>
        </w:p>
        <w:p w:rsidR="009E2E87" w:rsidRPr="008E311C" w:rsidRDefault="009E2E87" w:rsidP="009E2E87">
          <w:pPr>
            <w:pStyle w:val="TDC2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05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 Contextualización. El estado de la cuestión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_Toc499575805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28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06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1.1 Libros y publicaciones. Análisis actual de la corriente Mail Art y autores fundamentales de la historia del movimiento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_Toc499575806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29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560" w:hanging="579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07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1.1.1 Mail Art: communication a distance concept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_Toc499575807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30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560" w:hanging="579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08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</w:rPr>
              <w:t>1.1.2 Correspondence art: source book for the network of international postal art activity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_Toc499575808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31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560" w:hanging="579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09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1.1.3 La constante autodefinición. Mail art: an annotated bibliography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_Toc499575809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35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560" w:hanging="579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10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 xml:space="preserve">1.1.4 El ensayo como vehículo configurador. </w:t>
            </w:r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</w:rPr>
              <w:t>Eternal Network: a mail art anthology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_Toc499575810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36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560" w:hanging="579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11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it-IT"/>
              </w:rPr>
              <w:t>1.1.5 La correspondencia como símbolo. Arte Postale: guida al network della corrispondenza creativa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_Toc499575811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39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560" w:hanging="579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12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</w:rPr>
              <w:t>1.1.6 Mail Art - Art postal - Art posté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_Toc499575812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42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560" w:hanging="579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13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1.1.7 Mail Art latinoamericano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_Toc499575813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42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560" w:hanging="579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14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1.1.8 Mail-interviews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_Toc499575814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43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560" w:hanging="579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15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1.1.9 Mail art: la red eterna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_Toc499575815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44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16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1.2 La investigación y el Mail Art. Una primera aproximación al a obra de Michael Haneke.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_Toc499575816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46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560" w:hanging="567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17" w:history="1">
            <w:r w:rsidRPr="008E311C">
              <w:rPr>
                <w:rStyle w:val="Hipervnculo"/>
                <w:rFonts w:asciiTheme="minorHAnsi" w:hAnsiTheme="minorHAnsi"/>
                <w:b w:val="0"/>
                <w:noProof/>
                <w:sz w:val="22"/>
                <w:lang w:val="es-ES"/>
              </w:rPr>
              <w:t>1.2.1 Arte Correo (Mail-Art) 1975-1985. El Atelier Bonanova como referencia.</w:t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instrText xml:space="preserve"> PAGEREF _Toc499575817 \h </w:instrText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webHidden/>
                <w:sz w:val="22"/>
              </w:rPr>
              <w:t>46</w:t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560" w:hanging="567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18" w:history="1">
            <w:r w:rsidRPr="008E311C">
              <w:rPr>
                <w:rStyle w:val="Hipervnculo"/>
                <w:rFonts w:asciiTheme="minorHAnsi" w:hAnsiTheme="minorHAnsi"/>
                <w:b w:val="0"/>
                <w:noProof/>
                <w:sz w:val="22"/>
              </w:rPr>
              <w:t>1.2.2 Mailart 1955 to 1995: Democratic Art As Social Sculpture.</w:t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instrText xml:space="preserve"> PAGEREF _Toc499575818 \h </w:instrText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webHidden/>
                <w:sz w:val="22"/>
              </w:rPr>
              <w:t>47</w:t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560" w:hanging="567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19" w:history="1">
            <w:r w:rsidRPr="008E311C">
              <w:rPr>
                <w:rStyle w:val="Hipervnculo"/>
                <w:rFonts w:asciiTheme="minorHAnsi" w:hAnsiTheme="minorHAnsi"/>
                <w:b w:val="0"/>
                <w:noProof/>
                <w:sz w:val="22"/>
              </w:rPr>
              <w:t>1.2.3 Clashing and Converging: Effects of the Internet on the Correspondence Art Network.</w:t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instrText xml:space="preserve"> PAGEREF _Toc499575819 \h </w:instrText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webHidden/>
                <w:sz w:val="22"/>
              </w:rPr>
              <w:t>48</w:t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560" w:hanging="567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20" w:history="1">
            <w:r w:rsidRPr="008E311C">
              <w:rPr>
                <w:rStyle w:val="Hipervnculo"/>
                <w:rFonts w:asciiTheme="minorHAnsi" w:hAnsiTheme="minorHAnsi"/>
                <w:b w:val="0"/>
                <w:noProof/>
                <w:sz w:val="22"/>
                <w:lang w:val="pt-BR"/>
              </w:rPr>
              <w:t>1.2.4 Todo lugar é possível : a rede de arte postal, anos 70 e 80</w:t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instrText xml:space="preserve"> PAGEREF _Toc499575820 \h </w:instrText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webHidden/>
                <w:sz w:val="22"/>
              </w:rPr>
              <w:t>50</w:t>
            </w:r>
            <w:r w:rsidRPr="008E311C">
              <w:rPr>
                <w:rFonts w:asciiTheme="minorHAnsi" w:hAnsiTheme="minorHAnsi"/>
                <w:b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701" w:hanging="708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21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1.2.5 El Fake y el asalto a la comunicación. Evolución de las prácticas artísticas y activistas e manipulación en los medios (1968 – 2014)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_Toc499575821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50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701" w:hanging="708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22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fr-FR"/>
              </w:rPr>
              <w:t xml:space="preserve">1.2.6 Topologie und Funktionsweise des Netzwerkes der Mail Art. </w:t>
            </w:r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it-IT"/>
              </w:rPr>
              <w:t>Seine spezifi sche Bedeutung für Osteuropa von 1960 bis 1989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_Toc499575822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51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701" w:hanging="708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23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1.2.7 Artecorreo=artistas invisibles en la red postal (1975-1995)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_Toc499575823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52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701" w:hanging="708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24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</w:rPr>
              <w:t>1.2.8 A Companion to Michael Haneke, Edited by Roy Grundmann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_Toc499575824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53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701" w:hanging="708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25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1.2.9 The cinema of MICHAEL HANEKE editado por Ben McCann y David Sorfa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_Toc499575825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54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701" w:hanging="708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26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</w:rPr>
              <w:t xml:space="preserve">1.2.10 Michael Haneke's Cinema, The Ethic of the Image. </w:t>
            </w:r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Catherine Wheatley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_Toc499575826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55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701" w:hanging="708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27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1.2.11 Haneke Keine Biografie. Katharina Müller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_Toc499575827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56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701" w:hanging="708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28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1.2.12 The Piano Teacher. Elfriede Jelinek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_Toc499575828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56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701" w:hanging="708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29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1.2.13 ON MICHAEL HANEKE. Brian Price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_Toc499575829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57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701" w:hanging="708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30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1.2.14 Antes y después de Auschwitz La cinta blanca/La cuestión humana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_Toc499575830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57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701" w:hanging="708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31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1.2.15 LA ESFERA PÚBLICA. Jürgen Habermas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_Toc499575831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58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701" w:hanging="708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32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1.2.16 La sociedad de espectáculo. Guy Debord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_Toc499575832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59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701" w:hanging="708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33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1.2.17 EL CUERPO DEL CINE, Hipnosis, emociones, animalidades.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_Toc499575833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59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ind w:left="1701" w:hanging="708"/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34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1.2.18 Michael Haneke, la disparidad de lo trágico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_Toc499575834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60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Default="009E2E87" w:rsidP="009E2E87">
          <w:pPr>
            <w:pStyle w:val="TDC3"/>
            <w:tabs>
              <w:tab w:val="right" w:leader="dot" w:pos="6766"/>
            </w:tabs>
            <w:rPr>
              <w:rStyle w:val="Hipervnculo"/>
              <w:rFonts w:asciiTheme="minorHAnsi" w:hAnsiTheme="minorHAnsi"/>
              <w:noProof/>
              <w:sz w:val="22"/>
              <w:szCs w:val="22"/>
            </w:rPr>
          </w:pPr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35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1.3 Exposiciones e iniciativas prácticas en torno al uso del correo como medio artístico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_Toc499575835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61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Default="009E2E87" w:rsidP="009E2E87">
          <w:pPr>
            <w:pStyle w:val="TDC2"/>
            <w:tabs>
              <w:tab w:val="right" w:leader="dot" w:pos="6766"/>
            </w:tabs>
            <w:rPr>
              <w:rStyle w:val="Hipervnculo"/>
              <w:rFonts w:asciiTheme="minorHAnsi" w:hAnsiTheme="minorHAnsi"/>
              <w:noProof/>
              <w:sz w:val="22"/>
              <w:szCs w:val="22"/>
            </w:rPr>
          </w:pPr>
        </w:p>
        <w:p w:rsidR="009E2E87" w:rsidRPr="008E311C" w:rsidRDefault="009E2E87" w:rsidP="009E2E87">
          <w:pPr>
            <w:pStyle w:val="TDC2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36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2. Marco teórico-práctico. Objetivos y metodología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_Toc499575836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69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37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2.1 Propuestas de conocimiento que determinan el estudio teórico y práctico y estructuración de la hipótesis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_Toc499575837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69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38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2.2 Procesos metodológicos que fundamentan el análisis conjunto de la investigación teórica y puesta en práctica del proyecto artístico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_Toc499575838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71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Default="009E2E87" w:rsidP="009E2E87">
          <w:pPr>
            <w:pStyle w:val="TDC2"/>
            <w:tabs>
              <w:tab w:val="right" w:leader="dot" w:pos="6766"/>
            </w:tabs>
            <w:rPr>
              <w:rStyle w:val="Hipervnculo"/>
              <w:rFonts w:asciiTheme="minorHAnsi" w:hAnsiTheme="minorHAnsi"/>
              <w:noProof/>
              <w:sz w:val="22"/>
              <w:szCs w:val="22"/>
            </w:rPr>
          </w:pPr>
        </w:p>
        <w:p w:rsidR="009E2E87" w:rsidRPr="008E311C" w:rsidRDefault="009E2E87" w:rsidP="009E2E87">
          <w:pPr>
            <w:pStyle w:val="TDC2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39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3</w:t>
            </w:r>
            <w:r w:rsidRPr="008E311C">
              <w:rPr>
                <w:rStyle w:val="Hipervnculo"/>
                <w:rFonts w:asciiTheme="minorHAnsi" w:hAnsiTheme="minorHAnsi"/>
                <w:i/>
                <w:noProof/>
                <w:sz w:val="22"/>
                <w:szCs w:val="22"/>
                <w:lang w:val="es-ES"/>
              </w:rPr>
              <w:t xml:space="preserve">. </w:t>
            </w:r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Estructura de la investigación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_Toc499575839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74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40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 xml:space="preserve">3. 1 El </w:t>
            </w:r>
            <w:r w:rsidRPr="008E311C">
              <w:rPr>
                <w:rStyle w:val="Hipervnculo"/>
                <w:rFonts w:asciiTheme="minorHAnsi" w:hAnsiTheme="minorHAnsi"/>
                <w:i/>
                <w:noProof/>
                <w:sz w:val="22"/>
                <w:szCs w:val="22"/>
                <w:lang w:val="es-ES"/>
              </w:rPr>
              <w:t xml:space="preserve">Nciso </w:t>
            </w:r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como grieta que interviene el texto académico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_Toc499575840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74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Default="009E2E87" w:rsidP="009E2E87">
          <w:pPr>
            <w:pStyle w:val="TDC1"/>
            <w:tabs>
              <w:tab w:val="right" w:leader="dot" w:pos="6766"/>
            </w:tabs>
            <w:rPr>
              <w:rStyle w:val="Hipervnculo"/>
              <w:rFonts w:asciiTheme="minorHAnsi" w:hAnsiTheme="minorHAnsi"/>
              <w:noProof/>
              <w:sz w:val="22"/>
              <w:szCs w:val="22"/>
            </w:rPr>
          </w:pPr>
        </w:p>
        <w:p w:rsidR="009E2E87" w:rsidRPr="008E311C" w:rsidRDefault="009E2E87" w:rsidP="009E2E87">
          <w:pPr>
            <w:pStyle w:val="TDC1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41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PARTE II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_Toc499575841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76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Default="009E2E87" w:rsidP="009E2E87">
          <w:pPr>
            <w:pStyle w:val="TDC2"/>
            <w:tabs>
              <w:tab w:val="right" w:leader="dot" w:pos="6766"/>
            </w:tabs>
            <w:rPr>
              <w:rStyle w:val="Hipervnculo"/>
              <w:rFonts w:asciiTheme="minorHAnsi" w:hAnsiTheme="minorHAnsi"/>
              <w:noProof/>
              <w:sz w:val="22"/>
              <w:szCs w:val="22"/>
            </w:rPr>
          </w:pPr>
        </w:p>
        <w:p w:rsidR="009E2E87" w:rsidRPr="008E311C" w:rsidRDefault="009E2E87" w:rsidP="009E2E87">
          <w:pPr>
            <w:pStyle w:val="TDC2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43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 xml:space="preserve">1. Historia del Arte Postal ¿Qué es Mail Art? El mensaje escondido: </w:t>
            </w:r>
            <w:r w:rsidRPr="008E311C">
              <w:rPr>
                <w:rStyle w:val="Hipervnculo"/>
                <w:rFonts w:asciiTheme="minorHAnsi" w:hAnsiTheme="minorHAnsi"/>
                <w:i/>
                <w:noProof/>
                <w:sz w:val="22"/>
                <w:szCs w:val="22"/>
                <w:lang w:val="es-ES"/>
              </w:rPr>
              <w:t>Caché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_Toc499575843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77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44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 xml:space="preserve">1.1 Fases del Arte transferido a partir del medio de correo. </w:t>
            </w:r>
            <w:r w:rsidRPr="008E311C">
              <w:rPr>
                <w:rStyle w:val="Hipervnculo"/>
                <w:rFonts w:asciiTheme="minorHAnsi" w:hAnsiTheme="minorHAnsi"/>
                <w:i/>
                <w:noProof/>
                <w:sz w:val="22"/>
                <w:szCs w:val="22"/>
                <w:lang w:val="es-ES"/>
              </w:rPr>
              <w:t xml:space="preserve">Caché: </w:t>
            </w:r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Relato incompleto del viaje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_Toc499575844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86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45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</w:rPr>
              <w:t>1.2 Ray Johnson y la “New York Correspondance School”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_Toc499575845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99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46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 xml:space="preserve">1.3 El vínculo de los grupos Fluxus, Dadá, ZAJ y EINA con el Mail Art. La convención del contraplano, </w:t>
            </w:r>
            <w:r w:rsidRPr="008E311C">
              <w:rPr>
                <w:rStyle w:val="Hipervnculo"/>
                <w:rFonts w:asciiTheme="minorHAnsi" w:hAnsiTheme="minorHAnsi"/>
                <w:i/>
                <w:noProof/>
                <w:sz w:val="22"/>
                <w:szCs w:val="22"/>
                <w:lang w:val="es-ES"/>
              </w:rPr>
              <w:t xml:space="preserve">Caché </w:t>
            </w:r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y la estética del espectador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_Toc499575846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112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47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 xml:space="preserve">1.4 Motivaciones que transforman la correspondencia en Mail Art. El correo en </w:t>
            </w:r>
            <w:r w:rsidRPr="008E311C">
              <w:rPr>
                <w:rStyle w:val="Hipervnculo"/>
                <w:rFonts w:asciiTheme="minorHAnsi" w:hAnsiTheme="minorHAnsi"/>
                <w:i/>
                <w:noProof/>
                <w:sz w:val="22"/>
                <w:szCs w:val="22"/>
                <w:lang w:val="es-ES"/>
              </w:rPr>
              <w:t>Caché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_Toc499575847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129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48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1.4.1 El correo en Caché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_Toc499575848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130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2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49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2. El Arte Postal en España. Cronología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_Toc499575849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130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50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2.1 Tramesa Postal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_Toc499575850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133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51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2.2 Mail Art Exhibition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_Toc499575851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139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52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2.3 Libros y no Libros de Allá, Experimentales y marginales.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_Toc499575852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140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53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2.4 Objetos Muestra Internacional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_Toc499575853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141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Default="009E2E87" w:rsidP="009E2E87">
          <w:pPr>
            <w:pStyle w:val="TDC1"/>
            <w:tabs>
              <w:tab w:val="right" w:leader="dot" w:pos="6766"/>
            </w:tabs>
            <w:rPr>
              <w:rStyle w:val="Hipervnculo"/>
              <w:rFonts w:asciiTheme="minorHAnsi" w:hAnsiTheme="minorHAnsi"/>
              <w:noProof/>
              <w:sz w:val="22"/>
              <w:szCs w:val="22"/>
            </w:rPr>
          </w:pPr>
        </w:p>
        <w:p w:rsidR="009E2E87" w:rsidRPr="008E311C" w:rsidRDefault="009E2E87" w:rsidP="009E2E87">
          <w:pPr>
            <w:pStyle w:val="TDC1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54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PARTE III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_Toc499575854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146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Default="009E2E87" w:rsidP="009E2E87">
          <w:pPr>
            <w:pStyle w:val="TDC2"/>
            <w:tabs>
              <w:tab w:val="right" w:leader="dot" w:pos="6766"/>
            </w:tabs>
            <w:rPr>
              <w:rStyle w:val="Hipervnculo"/>
              <w:rFonts w:asciiTheme="minorHAnsi" w:hAnsiTheme="minorHAnsi"/>
              <w:noProof/>
              <w:sz w:val="22"/>
              <w:szCs w:val="22"/>
            </w:rPr>
          </w:pPr>
        </w:p>
        <w:p w:rsidR="009E2E87" w:rsidRPr="008E311C" w:rsidRDefault="009E2E87" w:rsidP="009E2E87">
          <w:pPr>
            <w:pStyle w:val="TDC2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56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 Un estudio del Espacio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_Toc499575856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147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57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1.1 Entre el adentro y el afuera. La sala de cine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_Toc499575857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147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58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1.2 El uso del espacio y su devenir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_Toc499575858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149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59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 xml:space="preserve">1.3 Modo y medio para pensar el espacio. El tiempo en </w:t>
            </w:r>
            <w:r w:rsidRPr="008E311C">
              <w:rPr>
                <w:rStyle w:val="Hipervnculo"/>
                <w:rFonts w:asciiTheme="minorHAnsi" w:hAnsiTheme="minorHAnsi"/>
                <w:i/>
                <w:noProof/>
                <w:sz w:val="22"/>
                <w:szCs w:val="22"/>
                <w:lang w:val="es-ES"/>
              </w:rPr>
              <w:t>Caché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_Toc499575859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155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60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1.4 El lugar de la imagen. La pantalla como escenario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_Toc499575860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160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2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61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2. Experiencia, memoria, observación, convenciones y posibilidades narrativas.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_Toc499575861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169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62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 xml:space="preserve">2.1 La ciudad a modo de contexto para la exhibición. El espacio público que presenta </w:t>
            </w:r>
            <w:r w:rsidRPr="008E311C">
              <w:rPr>
                <w:rStyle w:val="Hipervnculo"/>
                <w:rFonts w:asciiTheme="minorHAnsi" w:hAnsiTheme="minorHAnsi"/>
                <w:i/>
                <w:noProof/>
                <w:sz w:val="22"/>
                <w:szCs w:val="22"/>
                <w:lang w:val="es-ES"/>
              </w:rPr>
              <w:lastRenderedPageBreak/>
              <w:t>Caché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_Toc499575862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169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63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2.2 Discurso y Lenguaje. Imagen y Sonido como intermediarios para la construcción del mensaje.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_Toc499575863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170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Default="009E2E87" w:rsidP="009E2E87">
          <w:pPr>
            <w:pStyle w:val="TDC1"/>
            <w:tabs>
              <w:tab w:val="right" w:leader="dot" w:pos="6766"/>
            </w:tabs>
            <w:rPr>
              <w:rStyle w:val="Hipervnculo"/>
              <w:rFonts w:asciiTheme="minorHAnsi" w:hAnsiTheme="minorHAnsi"/>
              <w:noProof/>
              <w:sz w:val="22"/>
              <w:szCs w:val="22"/>
            </w:rPr>
          </w:pPr>
        </w:p>
        <w:p w:rsidR="009E2E87" w:rsidRPr="008E311C" w:rsidRDefault="009E2E87" w:rsidP="009E2E87">
          <w:pPr>
            <w:pStyle w:val="TDC1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64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PARTE IV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_Toc499575864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177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2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66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 Propuesta Artística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_Toc499575866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178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67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1.1 Notas al margen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_Toc499575867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181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68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1.2 Nciso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_Toc499575868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183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69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1.2.1 Nciso: transformar la forma.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_Toc499575869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183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70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1.2.2 Difuso: “No se trata De si no que se trata De”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_Toc499575870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184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71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1.2.3 Nciso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_Toc499575871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184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72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1.2.4 Nciso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_Toc499575872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186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73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1.2.5 Nciso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_Toc499575873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186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74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1.2.6 Nciso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_Toc499575874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186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75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1.2.7 Nciso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_Toc499575875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187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4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lang w:val="es-ES" w:eastAsia="es-ES"/>
            </w:rPr>
          </w:pPr>
          <w:hyperlink w:anchor="_Toc499575876" w:history="1">
            <w:r w:rsidRPr="008E311C">
              <w:rPr>
                <w:rStyle w:val="Hipervnculo"/>
                <w:rFonts w:asciiTheme="minorHAnsi" w:hAnsiTheme="minorHAnsi"/>
                <w:b w:val="0"/>
                <w:i w:val="0"/>
                <w:noProof/>
                <w:sz w:val="22"/>
                <w:lang w:val="es-ES"/>
              </w:rPr>
              <w:t>1.2.8 Nciso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ab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begin"/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instrText xml:space="preserve"> PAGEREF _Toc499575876 \h </w:instrTex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t>187</w:t>
            </w:r>
            <w:r w:rsidRPr="008E311C">
              <w:rPr>
                <w:rFonts w:asciiTheme="minorHAnsi" w:hAnsiTheme="minorHAnsi"/>
                <w:b w:val="0"/>
                <w:i w:val="0"/>
                <w:noProof/>
                <w:webHidden/>
                <w:sz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77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1.3 Proceso de Creación I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_Toc499575877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189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78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1.4 Una acción Mail Art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_Toc499575878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193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79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1.5 Reverso y Sello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_Toc499575879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198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80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1.6 Proceso de Creación II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_Toc499575880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217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81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1.7 Proceso de Creación III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_Toc499575881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239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82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1.8 Muestra Literal Literal Arte y Comunicación Postal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_Toc499575882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245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83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1.9 Obra bidimensional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_Toc499575883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253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3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84" w:history="1">
            <w:r w:rsidRPr="008E311C"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1.10 “Notes al peu”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_Toc499575884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265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Default="009E2E87" w:rsidP="009E2E87">
          <w:pPr>
            <w:pStyle w:val="TDC1"/>
            <w:tabs>
              <w:tab w:val="right" w:leader="dot" w:pos="6766"/>
            </w:tabs>
            <w:rPr>
              <w:rStyle w:val="Hipervnculo"/>
              <w:rFonts w:asciiTheme="minorHAnsi" w:hAnsiTheme="minorHAnsi"/>
              <w:noProof/>
              <w:sz w:val="22"/>
              <w:szCs w:val="22"/>
            </w:rPr>
          </w:pPr>
        </w:p>
        <w:p w:rsidR="009E2E87" w:rsidRPr="008E311C" w:rsidRDefault="009E2E87" w:rsidP="009E2E87">
          <w:pPr>
            <w:pStyle w:val="TDC1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85" w:history="1">
            <w:r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CONCLUSIONES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_Toc499575885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311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Pr="008E311C" w:rsidRDefault="009E2E87" w:rsidP="009E2E87">
          <w:pPr>
            <w:pStyle w:val="TDC1"/>
            <w:tabs>
              <w:tab w:val="right" w:leader="dot" w:pos="67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99575886" w:history="1">
            <w:r>
              <w:rPr>
                <w:rStyle w:val="Hipervnculo"/>
                <w:rFonts w:asciiTheme="minorHAnsi" w:hAnsiTheme="minorHAnsi"/>
                <w:noProof/>
                <w:sz w:val="22"/>
                <w:szCs w:val="22"/>
                <w:lang w:val="es-ES"/>
              </w:rPr>
              <w:t>BIBLIOGRAFÍA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_Toc499575886 \h </w:instrTex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318</w:t>
            </w:r>
            <w:r w:rsidRPr="008E311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2E87" w:rsidRDefault="009E2E87" w:rsidP="009E2E87">
          <w:pPr>
            <w:rPr>
              <w:b/>
              <w:bCs/>
            </w:rPr>
          </w:pPr>
          <w:r w:rsidRPr="008E311C">
            <w:rPr>
              <w:rFonts w:asciiTheme="minorHAnsi" w:hAnsiTheme="minorHAnsi"/>
              <w:sz w:val="22"/>
            </w:rPr>
            <w:fldChar w:fldCharType="end"/>
          </w:r>
        </w:p>
      </w:sdtContent>
    </w:sdt>
    <w:p w:rsidR="00EA1014" w:rsidRDefault="00EA1014">
      <w:bookmarkStart w:id="0" w:name="_GoBack"/>
      <w:bookmarkEnd w:id="0"/>
    </w:p>
    <w:sectPr w:rsidR="00EA1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87"/>
    <w:rsid w:val="009E2E87"/>
    <w:rsid w:val="00E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D82FE-770A-47BC-A9BE-688DB5FC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2E87"/>
    <w:pPr>
      <w:widowControl w:val="0"/>
      <w:autoSpaceDE w:val="0"/>
      <w:autoSpaceDN w:val="0"/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E2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uiPriority w:val="39"/>
    <w:qFormat/>
    <w:rsid w:val="009E2E87"/>
    <w:pPr>
      <w:spacing w:before="229"/>
      <w:ind w:left="262"/>
    </w:pPr>
    <w:rPr>
      <w:sz w:val="24"/>
      <w:szCs w:val="24"/>
    </w:rPr>
  </w:style>
  <w:style w:type="paragraph" w:styleId="TDC2">
    <w:name w:val="toc 2"/>
    <w:basedOn w:val="Normal"/>
    <w:uiPriority w:val="39"/>
    <w:qFormat/>
    <w:rsid w:val="009E2E87"/>
    <w:pPr>
      <w:spacing w:before="1"/>
      <w:ind w:left="262"/>
    </w:pPr>
    <w:rPr>
      <w:szCs w:val="20"/>
    </w:rPr>
  </w:style>
  <w:style w:type="paragraph" w:styleId="TDC3">
    <w:name w:val="toc 3"/>
    <w:basedOn w:val="Normal"/>
    <w:uiPriority w:val="39"/>
    <w:qFormat/>
    <w:rsid w:val="009E2E87"/>
    <w:pPr>
      <w:ind w:left="982" w:hanging="360"/>
    </w:pPr>
    <w:rPr>
      <w:szCs w:val="20"/>
    </w:rPr>
  </w:style>
  <w:style w:type="paragraph" w:styleId="TDC4">
    <w:name w:val="toc 4"/>
    <w:basedOn w:val="Normal"/>
    <w:uiPriority w:val="39"/>
    <w:qFormat/>
    <w:rsid w:val="009E2E87"/>
    <w:pPr>
      <w:ind w:left="981"/>
    </w:pPr>
    <w:rPr>
      <w:b/>
      <w:bCs/>
      <w:i/>
    </w:rPr>
  </w:style>
  <w:style w:type="character" w:customStyle="1" w:styleId="Ttulo1Car">
    <w:name w:val="Título 1 Car"/>
    <w:basedOn w:val="Fuentedeprrafopredeter"/>
    <w:link w:val="Ttulo1"/>
    <w:uiPriority w:val="9"/>
    <w:rsid w:val="009E2E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9E2E87"/>
    <w:pPr>
      <w:widowControl/>
      <w:autoSpaceDE/>
      <w:autoSpaceDN/>
      <w:spacing w:after="120" w:line="259" w:lineRule="auto"/>
      <w:outlineLvl w:val="9"/>
    </w:pPr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E2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1531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Covaleda Vicente</dc:creator>
  <cp:keywords/>
  <dc:description/>
  <cp:lastModifiedBy>Irene Covaleda Vicente</cp:lastModifiedBy>
  <cp:revision>1</cp:revision>
  <dcterms:created xsi:type="dcterms:W3CDTF">2017-11-27T22:44:00Z</dcterms:created>
  <dcterms:modified xsi:type="dcterms:W3CDTF">2017-11-27T22:45:00Z</dcterms:modified>
</cp:coreProperties>
</file>