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5CE" w:rsidRDefault="00F035CE" w:rsidP="00F035CE">
      <w:pPr>
        <w:spacing w:after="0" w:line="360" w:lineRule="auto"/>
        <w:ind w:firstLine="709"/>
        <w:jc w:val="both"/>
        <w:rPr>
          <w:sz w:val="32"/>
          <w:szCs w:val="32"/>
        </w:rPr>
      </w:pPr>
      <w:r>
        <w:rPr>
          <w:sz w:val="32"/>
          <w:szCs w:val="32"/>
        </w:rPr>
        <w:t>V</w:t>
      </w:r>
      <w:r>
        <w:rPr>
          <w:sz w:val="24"/>
          <w:szCs w:val="24"/>
        </w:rPr>
        <w:t>ALENCIÀ</w:t>
      </w:r>
    </w:p>
    <w:p w:rsidR="00F035CE" w:rsidRDefault="00F035CE" w:rsidP="00F035CE">
      <w:pPr>
        <w:tabs>
          <w:tab w:val="left" w:pos="851"/>
        </w:tabs>
        <w:autoSpaceDE w:val="0"/>
        <w:autoSpaceDN w:val="0"/>
        <w:adjustRightInd w:val="0"/>
        <w:spacing w:after="0" w:line="360" w:lineRule="auto"/>
        <w:ind w:firstLine="709"/>
        <w:jc w:val="both"/>
        <w:rPr>
          <w:strike/>
          <w:sz w:val="24"/>
          <w:szCs w:val="24"/>
          <w:lang w:val="ca-ES"/>
        </w:rPr>
      </w:pPr>
      <w:r>
        <w:rPr>
          <w:sz w:val="24"/>
          <w:szCs w:val="24"/>
          <w:lang w:val="ca-ES"/>
        </w:rPr>
        <w:t xml:space="preserve">Perquè el procés infecciós d’un virus de plantes </w:t>
      </w:r>
      <w:proofErr w:type="spellStart"/>
      <w:r>
        <w:rPr>
          <w:sz w:val="24"/>
          <w:szCs w:val="24"/>
          <w:lang w:val="ca-ES"/>
        </w:rPr>
        <w:t>tinga</w:t>
      </w:r>
      <w:proofErr w:type="spellEnd"/>
      <w:r>
        <w:rPr>
          <w:sz w:val="24"/>
          <w:szCs w:val="24"/>
          <w:lang w:val="ca-ES"/>
        </w:rPr>
        <w:t xml:space="preserve"> èxit cal que la progènie viral es </w:t>
      </w:r>
      <w:proofErr w:type="spellStart"/>
      <w:r>
        <w:rPr>
          <w:sz w:val="24"/>
          <w:szCs w:val="24"/>
          <w:lang w:val="ca-ES"/>
        </w:rPr>
        <w:t>propague</w:t>
      </w:r>
      <w:proofErr w:type="spellEnd"/>
      <w:r>
        <w:rPr>
          <w:sz w:val="24"/>
          <w:szCs w:val="24"/>
          <w:lang w:val="ca-ES"/>
        </w:rPr>
        <w:t xml:space="preserve"> des de les primeres cèl·lules infectades fins a la resta de la planta; inicialment, es mourà cèl·lula a cèl·lula a través dels plasmodesmes (</w:t>
      </w:r>
      <w:proofErr w:type="spellStart"/>
      <w:r>
        <w:rPr>
          <w:sz w:val="24"/>
          <w:szCs w:val="24"/>
          <w:lang w:val="ca-ES"/>
        </w:rPr>
        <w:t>PDs</w:t>
      </w:r>
      <w:proofErr w:type="spellEnd"/>
      <w:r>
        <w:rPr>
          <w:sz w:val="24"/>
          <w:szCs w:val="24"/>
          <w:lang w:val="ca-ES"/>
        </w:rPr>
        <w:t>) fins assolir el sistema vascular, la qual cosa li permetrà envair les parts distals de l’hoste. En aquest procés, les proteïnes de moviment (</w:t>
      </w:r>
      <w:proofErr w:type="spellStart"/>
      <w:r>
        <w:rPr>
          <w:sz w:val="24"/>
          <w:szCs w:val="24"/>
          <w:lang w:val="ca-ES"/>
        </w:rPr>
        <w:t>MPs</w:t>
      </w:r>
      <w:proofErr w:type="spellEnd"/>
      <w:r>
        <w:rPr>
          <w:sz w:val="24"/>
          <w:szCs w:val="24"/>
          <w:lang w:val="ca-ES"/>
        </w:rPr>
        <w:t xml:space="preserve">), amb la col·laboració d’altres actors secundaris, tenen una importància cabdal. El coneixement de la possible associació de les </w:t>
      </w:r>
      <w:proofErr w:type="spellStart"/>
      <w:r>
        <w:rPr>
          <w:sz w:val="24"/>
          <w:szCs w:val="24"/>
          <w:lang w:val="ca-ES"/>
        </w:rPr>
        <w:t>MPs</w:t>
      </w:r>
      <w:proofErr w:type="spellEnd"/>
      <w:r>
        <w:rPr>
          <w:sz w:val="24"/>
          <w:szCs w:val="24"/>
          <w:lang w:val="ca-ES"/>
        </w:rPr>
        <w:t xml:space="preserve"> amb estructures o orgànuls cel·lulars, així com de la seua interacció amb factors de l’hoste, és clau per al desenvolupament d’ estratègies antivirals que permetrien una millora en la producció de cultius. Aquest tipus d’ estudis han permès assolir un major coneixement de les respostes de les plantes a l’estrès i han constituït una recerca pionera per a esbrinar els mecanismes de translocació intercel·lular dels factors cel·lulars implicats en els processos de desenvolupament en plantes.</w:t>
      </w:r>
    </w:p>
    <w:p w:rsidR="00F035CE" w:rsidRDefault="00F035CE" w:rsidP="00F035CE">
      <w:pPr>
        <w:tabs>
          <w:tab w:val="left" w:pos="851"/>
        </w:tabs>
        <w:autoSpaceDE w:val="0"/>
        <w:autoSpaceDN w:val="0"/>
        <w:adjustRightInd w:val="0"/>
        <w:spacing w:after="0" w:line="360" w:lineRule="auto"/>
        <w:ind w:firstLine="709"/>
        <w:jc w:val="both"/>
        <w:rPr>
          <w:sz w:val="24"/>
          <w:szCs w:val="24"/>
          <w:lang w:val="ca-ES"/>
        </w:rPr>
      </w:pPr>
      <w:r>
        <w:rPr>
          <w:sz w:val="24"/>
          <w:szCs w:val="24"/>
          <w:lang w:val="ca-ES"/>
        </w:rPr>
        <w:t xml:space="preserve">Les </w:t>
      </w:r>
      <w:proofErr w:type="spellStart"/>
      <w:r>
        <w:rPr>
          <w:sz w:val="24"/>
          <w:szCs w:val="24"/>
          <w:lang w:val="ca-ES"/>
        </w:rPr>
        <w:t>MPs</w:t>
      </w:r>
      <w:proofErr w:type="spellEnd"/>
      <w:r>
        <w:rPr>
          <w:sz w:val="24"/>
          <w:szCs w:val="24"/>
          <w:lang w:val="ca-ES"/>
        </w:rPr>
        <w:t xml:space="preserve"> virals es classifiquen en famílies/grups segons el seu grau de semblança. Els virus, les </w:t>
      </w:r>
      <w:proofErr w:type="spellStart"/>
      <w:r>
        <w:rPr>
          <w:sz w:val="24"/>
          <w:szCs w:val="24"/>
          <w:lang w:val="ca-ES"/>
        </w:rPr>
        <w:t>MPs</w:t>
      </w:r>
      <w:proofErr w:type="spellEnd"/>
      <w:r>
        <w:rPr>
          <w:sz w:val="24"/>
          <w:szCs w:val="24"/>
          <w:lang w:val="ca-ES"/>
        </w:rPr>
        <w:t xml:space="preserve"> dels quals pertanyen a la </w:t>
      </w:r>
      <w:proofErr w:type="spellStart"/>
      <w:r>
        <w:rPr>
          <w:sz w:val="24"/>
          <w:szCs w:val="24"/>
          <w:lang w:val="ca-ES"/>
        </w:rPr>
        <w:t>Superfamíla</w:t>
      </w:r>
      <w:proofErr w:type="spellEnd"/>
      <w:r>
        <w:rPr>
          <w:sz w:val="24"/>
          <w:szCs w:val="24"/>
          <w:lang w:val="ca-ES"/>
        </w:rPr>
        <w:t xml:space="preserve"> 30K, es caracteritzen per tenir una única MP encarregada d’orquestrar el moviment </w:t>
      </w:r>
      <w:proofErr w:type="spellStart"/>
      <w:r>
        <w:rPr>
          <w:sz w:val="24"/>
          <w:szCs w:val="24"/>
          <w:lang w:val="ca-ES"/>
        </w:rPr>
        <w:t>intra</w:t>
      </w:r>
      <w:proofErr w:type="spellEnd"/>
      <w:r>
        <w:rPr>
          <w:sz w:val="24"/>
          <w:szCs w:val="24"/>
          <w:lang w:val="ca-ES"/>
        </w:rPr>
        <w:t xml:space="preserve">- i intercel·lular del genoma viral. Al Capítol 1 de la present Tesi s’ha caracteritzat l’associació de la MP del </w:t>
      </w:r>
      <w:r>
        <w:rPr>
          <w:i/>
          <w:sz w:val="24"/>
          <w:szCs w:val="24"/>
          <w:lang w:val="ca-ES"/>
        </w:rPr>
        <w:t>Virus del mosaic del tabac</w:t>
      </w:r>
      <w:r>
        <w:rPr>
          <w:sz w:val="24"/>
          <w:szCs w:val="24"/>
          <w:lang w:val="ca-ES"/>
        </w:rPr>
        <w:t xml:space="preserve"> (TMV), membre tipus de la família 30K, al sistema </w:t>
      </w:r>
      <w:proofErr w:type="spellStart"/>
      <w:r>
        <w:rPr>
          <w:sz w:val="24"/>
          <w:szCs w:val="24"/>
          <w:lang w:val="ca-ES"/>
        </w:rPr>
        <w:t>d’endomembranes</w:t>
      </w:r>
      <w:proofErr w:type="spellEnd"/>
      <w:r>
        <w:rPr>
          <w:sz w:val="24"/>
          <w:szCs w:val="24"/>
          <w:lang w:val="ca-ES"/>
        </w:rPr>
        <w:t xml:space="preserve"> cel·lular. Mitjançant l’ús d’aproximacions </w:t>
      </w:r>
      <w:r>
        <w:rPr>
          <w:i/>
          <w:sz w:val="24"/>
          <w:szCs w:val="24"/>
          <w:lang w:val="ca-ES"/>
        </w:rPr>
        <w:t xml:space="preserve">in </w:t>
      </w:r>
      <w:proofErr w:type="spellStart"/>
      <w:r>
        <w:rPr>
          <w:i/>
          <w:sz w:val="24"/>
          <w:szCs w:val="24"/>
          <w:lang w:val="ca-ES"/>
        </w:rPr>
        <w:t>vivo</w:t>
      </w:r>
      <w:proofErr w:type="spellEnd"/>
      <w:r>
        <w:rPr>
          <w:sz w:val="24"/>
          <w:szCs w:val="24"/>
          <w:lang w:val="ca-ES"/>
        </w:rPr>
        <w:t xml:space="preserve"> hem estudiat l’eficiència d’integració de les seues regions hidrofòbiques (</w:t>
      </w:r>
      <w:proofErr w:type="spellStart"/>
      <w:r>
        <w:rPr>
          <w:sz w:val="24"/>
          <w:szCs w:val="24"/>
          <w:lang w:val="ca-ES"/>
        </w:rPr>
        <w:t>HRs</w:t>
      </w:r>
      <w:proofErr w:type="spellEnd"/>
      <w:r>
        <w:rPr>
          <w:sz w:val="24"/>
          <w:szCs w:val="24"/>
          <w:lang w:val="ca-ES"/>
        </w:rPr>
        <w:t xml:space="preserve">) en la membrana del reticle endoplasmàtic (ER). Els nostres resultats demostren que cap de les dues </w:t>
      </w:r>
      <w:proofErr w:type="spellStart"/>
      <w:r>
        <w:rPr>
          <w:sz w:val="24"/>
          <w:szCs w:val="24"/>
          <w:lang w:val="ca-ES"/>
        </w:rPr>
        <w:t>HRs</w:t>
      </w:r>
      <w:proofErr w:type="spellEnd"/>
      <w:r>
        <w:rPr>
          <w:sz w:val="24"/>
          <w:szCs w:val="24"/>
          <w:lang w:val="ca-ES"/>
        </w:rPr>
        <w:t xml:space="preserve"> de la MP és capaç de travessar les membranes biològiques i que l’alteració de la </w:t>
      </w:r>
      <w:proofErr w:type="spellStart"/>
      <w:r>
        <w:rPr>
          <w:sz w:val="24"/>
          <w:szCs w:val="24"/>
          <w:lang w:val="ca-ES"/>
        </w:rPr>
        <w:t>hidrofobicitat</w:t>
      </w:r>
      <w:proofErr w:type="spellEnd"/>
      <w:r>
        <w:rPr>
          <w:sz w:val="24"/>
          <w:szCs w:val="24"/>
          <w:lang w:val="ca-ES"/>
        </w:rPr>
        <w:t xml:space="preserve"> de la primera HR és suficient per a modificar la seua associació a la membrana. D’acord amb els resultats obtinguts, proposem un model topològic en el qual la MP del TMV es trobaria fortament associada a la part citosòlica de la membrana del ER, sense arribar a travessar-la. L’observació que i) el model proposat és compatible amb altres motius, prèviament caracteritzats, de la MP del TMV i ii) concorda amb la topologia descrita per a altres </w:t>
      </w:r>
      <w:proofErr w:type="spellStart"/>
      <w:r>
        <w:rPr>
          <w:sz w:val="24"/>
          <w:szCs w:val="24"/>
          <w:lang w:val="ca-ES"/>
        </w:rPr>
        <w:t>MPs</w:t>
      </w:r>
      <w:proofErr w:type="spellEnd"/>
      <w:r>
        <w:rPr>
          <w:sz w:val="24"/>
          <w:szCs w:val="24"/>
          <w:lang w:val="ca-ES"/>
        </w:rPr>
        <w:t xml:space="preserve"> de la família 30K, permet posar en dubte el model establert des de l’any 2000 per a la MP del TMV, així com predir, en base a l’estructura secundària conservada a les </w:t>
      </w:r>
      <w:proofErr w:type="spellStart"/>
      <w:r>
        <w:rPr>
          <w:sz w:val="24"/>
          <w:szCs w:val="24"/>
          <w:lang w:val="ca-ES"/>
        </w:rPr>
        <w:t>MPs</w:t>
      </w:r>
      <w:proofErr w:type="spellEnd"/>
      <w:r>
        <w:rPr>
          <w:sz w:val="24"/>
          <w:szCs w:val="24"/>
          <w:lang w:val="ca-ES"/>
        </w:rPr>
        <w:t xml:space="preserve"> d’aquesta família, una topologia similar per a tots els seus components. Pel que fa al transport intercel·lular </w:t>
      </w:r>
      <w:r>
        <w:rPr>
          <w:sz w:val="24"/>
          <w:szCs w:val="24"/>
          <w:lang w:val="ca-ES"/>
        </w:rPr>
        <w:lastRenderedPageBreak/>
        <w:t xml:space="preserve">dels virus de plantes, s’han descrit tres models pel que respecta a la capacitat de transportar complexes </w:t>
      </w:r>
      <w:proofErr w:type="spellStart"/>
      <w:r>
        <w:rPr>
          <w:sz w:val="24"/>
          <w:szCs w:val="24"/>
          <w:lang w:val="ca-ES"/>
        </w:rPr>
        <w:t>ribonucleoproteïcs</w:t>
      </w:r>
      <w:proofErr w:type="spellEnd"/>
      <w:r>
        <w:rPr>
          <w:sz w:val="24"/>
          <w:szCs w:val="24"/>
          <w:lang w:val="ca-ES"/>
        </w:rPr>
        <w:t xml:space="preserve">, a través de </w:t>
      </w:r>
      <w:proofErr w:type="spellStart"/>
      <w:r>
        <w:rPr>
          <w:sz w:val="24"/>
          <w:szCs w:val="24"/>
          <w:lang w:val="ca-ES"/>
        </w:rPr>
        <w:t>PDs</w:t>
      </w:r>
      <w:proofErr w:type="spellEnd"/>
      <w:r>
        <w:rPr>
          <w:sz w:val="24"/>
          <w:szCs w:val="24"/>
          <w:lang w:val="ca-ES"/>
        </w:rPr>
        <w:t xml:space="preserve"> modificats, formats pel RNA viral i la MP (ex. MP del TMV) junt amb la proteïna de coberta (ex. MP del </w:t>
      </w:r>
      <w:r>
        <w:rPr>
          <w:i/>
          <w:sz w:val="24"/>
          <w:szCs w:val="24"/>
          <w:lang w:val="ca-ES"/>
        </w:rPr>
        <w:t>Virus del mosaic del cogombre</w:t>
      </w:r>
      <w:r>
        <w:rPr>
          <w:sz w:val="24"/>
          <w:szCs w:val="24"/>
          <w:lang w:val="ca-ES"/>
        </w:rPr>
        <w:t xml:space="preserve">, CMV) o la capacitat de transportar virions a través d’estructures tubulars formades per la MP (ex. MP del </w:t>
      </w:r>
      <w:r>
        <w:rPr>
          <w:i/>
          <w:sz w:val="24"/>
          <w:szCs w:val="24"/>
          <w:lang w:val="ca-ES"/>
        </w:rPr>
        <w:t xml:space="preserve">Virus del mosaic del </w:t>
      </w:r>
      <w:proofErr w:type="spellStart"/>
      <w:r>
        <w:rPr>
          <w:i/>
          <w:sz w:val="24"/>
          <w:szCs w:val="24"/>
          <w:lang w:val="ca-ES"/>
        </w:rPr>
        <w:t>caupí</w:t>
      </w:r>
      <w:proofErr w:type="spellEnd"/>
      <w:r>
        <w:rPr>
          <w:i/>
          <w:sz w:val="24"/>
          <w:szCs w:val="24"/>
          <w:lang w:val="ca-ES"/>
        </w:rPr>
        <w:t xml:space="preserve">, </w:t>
      </w:r>
      <w:r>
        <w:rPr>
          <w:sz w:val="24"/>
          <w:szCs w:val="24"/>
          <w:lang w:val="ca-ES"/>
        </w:rPr>
        <w:t xml:space="preserve">CPMV). Tot i les diferències observades entre els tres models descrits, les </w:t>
      </w:r>
      <w:proofErr w:type="spellStart"/>
      <w:r>
        <w:rPr>
          <w:sz w:val="24"/>
          <w:szCs w:val="24"/>
          <w:lang w:val="ca-ES"/>
        </w:rPr>
        <w:t>MPs</w:t>
      </w:r>
      <w:proofErr w:type="spellEnd"/>
      <w:r>
        <w:rPr>
          <w:sz w:val="24"/>
          <w:szCs w:val="24"/>
          <w:lang w:val="ca-ES"/>
        </w:rPr>
        <w:t xml:space="preserve"> representatives de cadascun d’ells pertanyen a la mateixa família 30K i són funcionalment intercanviables (</w:t>
      </w:r>
      <w:proofErr w:type="spellStart"/>
      <w:r>
        <w:rPr>
          <w:sz w:val="24"/>
          <w:szCs w:val="24"/>
          <w:lang w:val="ca-ES"/>
        </w:rPr>
        <w:t>MPs</w:t>
      </w:r>
      <w:proofErr w:type="spellEnd"/>
      <w:r>
        <w:rPr>
          <w:sz w:val="24"/>
          <w:szCs w:val="24"/>
          <w:lang w:val="ca-ES"/>
        </w:rPr>
        <w:t xml:space="preserve"> de TMV, CMV, CPMV,</w:t>
      </w:r>
      <w:r>
        <w:rPr>
          <w:i/>
          <w:sz w:val="24"/>
          <w:szCs w:val="24"/>
          <w:lang w:val="ca-ES"/>
        </w:rPr>
        <w:t xml:space="preserve"> Virus del mosaic del bromo </w:t>
      </w:r>
      <w:r>
        <w:rPr>
          <w:sz w:val="24"/>
          <w:szCs w:val="24"/>
          <w:lang w:val="ca-ES"/>
        </w:rPr>
        <w:t xml:space="preserve">-BMV- o </w:t>
      </w:r>
      <w:r>
        <w:rPr>
          <w:i/>
          <w:sz w:val="24"/>
          <w:szCs w:val="24"/>
          <w:lang w:val="ca-ES"/>
        </w:rPr>
        <w:t xml:space="preserve">Virus dels anells necròtics dels </w:t>
      </w:r>
      <w:proofErr w:type="spellStart"/>
      <w:r>
        <w:rPr>
          <w:i/>
          <w:sz w:val="24"/>
          <w:szCs w:val="24"/>
          <w:lang w:val="ca-ES"/>
        </w:rPr>
        <w:t>prunus</w:t>
      </w:r>
      <w:proofErr w:type="spellEnd"/>
      <w:r>
        <w:rPr>
          <w:i/>
          <w:sz w:val="24"/>
          <w:szCs w:val="24"/>
          <w:lang w:val="ca-ES"/>
        </w:rPr>
        <w:t xml:space="preserve"> </w:t>
      </w:r>
      <w:r>
        <w:rPr>
          <w:sz w:val="24"/>
          <w:szCs w:val="24"/>
          <w:lang w:val="ca-ES"/>
        </w:rPr>
        <w:t>-PNRSV</w:t>
      </w:r>
      <w:r>
        <w:rPr>
          <w:i/>
          <w:sz w:val="24"/>
          <w:szCs w:val="24"/>
          <w:lang w:val="ca-ES"/>
        </w:rPr>
        <w:t>-</w:t>
      </w:r>
      <w:r>
        <w:rPr>
          <w:sz w:val="24"/>
          <w:szCs w:val="24"/>
          <w:lang w:val="ca-ES"/>
        </w:rPr>
        <w:t xml:space="preserve">) per la MP del </w:t>
      </w:r>
      <w:r>
        <w:rPr>
          <w:i/>
          <w:sz w:val="24"/>
          <w:szCs w:val="24"/>
          <w:lang w:val="ca-ES"/>
        </w:rPr>
        <w:t xml:space="preserve">Virus del mosaic de </w:t>
      </w:r>
      <w:proofErr w:type="spellStart"/>
      <w:r>
        <w:rPr>
          <w:i/>
          <w:sz w:val="24"/>
          <w:szCs w:val="24"/>
          <w:lang w:val="ca-ES"/>
        </w:rPr>
        <w:t>l’alfalfa</w:t>
      </w:r>
      <w:proofErr w:type="spellEnd"/>
      <w:r>
        <w:rPr>
          <w:i/>
          <w:sz w:val="24"/>
          <w:szCs w:val="24"/>
          <w:lang w:val="ca-ES"/>
        </w:rPr>
        <w:t xml:space="preserve"> </w:t>
      </w:r>
      <w:r>
        <w:rPr>
          <w:sz w:val="24"/>
          <w:szCs w:val="24"/>
          <w:lang w:val="ca-ES"/>
        </w:rPr>
        <w:t xml:space="preserve">(AMV), per al transport a curta distància. Amb l’objectiu d’entendre la versatilitat que presenten les </w:t>
      </w:r>
      <w:proofErr w:type="spellStart"/>
      <w:r>
        <w:rPr>
          <w:sz w:val="24"/>
          <w:szCs w:val="24"/>
          <w:lang w:val="ca-ES"/>
        </w:rPr>
        <w:t>MPs</w:t>
      </w:r>
      <w:proofErr w:type="spellEnd"/>
      <w:r>
        <w:rPr>
          <w:sz w:val="24"/>
          <w:szCs w:val="24"/>
          <w:lang w:val="ca-ES"/>
        </w:rPr>
        <w:t xml:space="preserve"> respecte al moviment viral, hem analitzat la capacitat d’aquestes </w:t>
      </w:r>
      <w:proofErr w:type="spellStart"/>
      <w:r>
        <w:rPr>
          <w:sz w:val="24"/>
          <w:szCs w:val="24"/>
          <w:lang w:val="ca-ES"/>
        </w:rPr>
        <w:t>MPs</w:t>
      </w:r>
      <w:proofErr w:type="spellEnd"/>
      <w:r>
        <w:rPr>
          <w:sz w:val="24"/>
          <w:szCs w:val="24"/>
          <w:lang w:val="ca-ES"/>
        </w:rPr>
        <w:t xml:space="preserve"> heteròlogues de transportar </w:t>
      </w:r>
      <w:proofErr w:type="spellStart"/>
      <w:r>
        <w:rPr>
          <w:sz w:val="24"/>
          <w:szCs w:val="24"/>
          <w:lang w:val="ca-ES"/>
        </w:rPr>
        <w:t>sistèmicament</w:t>
      </w:r>
      <w:proofErr w:type="spellEnd"/>
      <w:r>
        <w:rPr>
          <w:sz w:val="24"/>
          <w:szCs w:val="24"/>
          <w:lang w:val="ca-ES"/>
        </w:rPr>
        <w:t xml:space="preserve"> el genoma quimèric del AMV. L’estudi ha mostrat</w:t>
      </w:r>
      <w:r>
        <w:rPr>
          <w:strike/>
          <w:sz w:val="24"/>
          <w:szCs w:val="24"/>
          <w:lang w:val="ca-ES"/>
        </w:rPr>
        <w:t xml:space="preserve"> </w:t>
      </w:r>
      <w:r>
        <w:rPr>
          <w:sz w:val="24"/>
          <w:szCs w:val="24"/>
          <w:lang w:val="ca-ES"/>
        </w:rPr>
        <w:t xml:space="preserve">que totes les </w:t>
      </w:r>
      <w:proofErr w:type="spellStart"/>
      <w:r>
        <w:rPr>
          <w:sz w:val="24"/>
          <w:szCs w:val="24"/>
          <w:lang w:val="ca-ES"/>
        </w:rPr>
        <w:t>MPs</w:t>
      </w:r>
      <w:proofErr w:type="spellEnd"/>
      <w:r>
        <w:rPr>
          <w:sz w:val="24"/>
          <w:szCs w:val="24"/>
          <w:lang w:val="ca-ES"/>
        </w:rPr>
        <w:t xml:space="preserve"> analitzades permeten el transport del genoma quimèric a les parts distals de la planta, independentment del model de transport a curta distància que segueixen, encara que necessiten l’extensió dels 44 aminoàcids C-terminals de la MP del AMV. A més a més, per a totes les </w:t>
      </w:r>
      <w:proofErr w:type="spellStart"/>
      <w:r>
        <w:rPr>
          <w:sz w:val="24"/>
          <w:szCs w:val="24"/>
          <w:lang w:val="ca-ES"/>
        </w:rPr>
        <w:t>MPs</w:t>
      </w:r>
      <w:proofErr w:type="spellEnd"/>
      <w:r>
        <w:rPr>
          <w:sz w:val="24"/>
          <w:szCs w:val="24"/>
          <w:lang w:val="ca-ES"/>
        </w:rPr>
        <w:t xml:space="preserve">, excepte per a la del TMV, s’ha establert una relació entre la capacitat de moviment local i la presència del virus a les fulles no inoculades de la planta, tot assenyalant l’existència d’un llindar de transport cèl·lula a cèl·lula, per sota del qual, el virus és incapaç d’envair </w:t>
      </w:r>
      <w:proofErr w:type="spellStart"/>
      <w:r>
        <w:rPr>
          <w:sz w:val="24"/>
          <w:szCs w:val="24"/>
          <w:lang w:val="ca-ES"/>
        </w:rPr>
        <w:t>sistèmicament</w:t>
      </w:r>
      <w:proofErr w:type="spellEnd"/>
      <w:r>
        <w:rPr>
          <w:sz w:val="24"/>
          <w:szCs w:val="24"/>
          <w:lang w:val="ca-ES"/>
        </w:rPr>
        <w:t xml:space="preserve"> la planta. </w:t>
      </w:r>
    </w:p>
    <w:p w:rsidR="00F035CE" w:rsidRDefault="00F035CE" w:rsidP="00F035CE">
      <w:pPr>
        <w:tabs>
          <w:tab w:val="left" w:pos="851"/>
        </w:tabs>
        <w:autoSpaceDE w:val="0"/>
        <w:autoSpaceDN w:val="0"/>
        <w:adjustRightInd w:val="0"/>
        <w:spacing w:after="0" w:line="360" w:lineRule="auto"/>
        <w:ind w:firstLine="709"/>
        <w:jc w:val="both"/>
        <w:rPr>
          <w:sz w:val="24"/>
          <w:szCs w:val="24"/>
          <w:lang w:val="ca-ES"/>
        </w:rPr>
      </w:pPr>
      <w:r>
        <w:rPr>
          <w:sz w:val="24"/>
          <w:szCs w:val="24"/>
          <w:lang w:val="ca-ES"/>
        </w:rPr>
        <w:t xml:space="preserve">Durant el procés d’infecció viral, les </w:t>
      </w:r>
      <w:proofErr w:type="spellStart"/>
      <w:r>
        <w:rPr>
          <w:sz w:val="24"/>
          <w:szCs w:val="24"/>
          <w:lang w:val="ca-ES"/>
        </w:rPr>
        <w:t>MPs</w:t>
      </w:r>
      <w:proofErr w:type="spellEnd"/>
      <w:r>
        <w:rPr>
          <w:sz w:val="24"/>
          <w:szCs w:val="24"/>
          <w:lang w:val="ca-ES"/>
        </w:rPr>
        <w:t xml:space="preserve"> interaccionen tant amb altres proteïnes d’origen víric com de la planta hoste. La interacció entre les </w:t>
      </w:r>
      <w:proofErr w:type="spellStart"/>
      <w:r>
        <w:rPr>
          <w:sz w:val="24"/>
          <w:szCs w:val="24"/>
          <w:lang w:val="ca-ES"/>
        </w:rPr>
        <w:t>MPs</w:t>
      </w:r>
      <w:proofErr w:type="spellEnd"/>
      <w:r>
        <w:rPr>
          <w:sz w:val="24"/>
          <w:szCs w:val="24"/>
          <w:lang w:val="ca-ES"/>
        </w:rPr>
        <w:t xml:space="preserve"> i els esmentats factors cel·lulars afecten a la patogènesi viral, facilitant o obstaculitzant el moviment </w:t>
      </w:r>
      <w:proofErr w:type="spellStart"/>
      <w:r>
        <w:rPr>
          <w:sz w:val="24"/>
          <w:szCs w:val="24"/>
          <w:lang w:val="ca-ES"/>
        </w:rPr>
        <w:t>intra</w:t>
      </w:r>
      <w:proofErr w:type="spellEnd"/>
      <w:r>
        <w:rPr>
          <w:sz w:val="24"/>
          <w:szCs w:val="24"/>
          <w:lang w:val="ca-ES"/>
        </w:rPr>
        <w:t xml:space="preserve">- o intercel·lular del virus. Al Capítol 3 d’aquest treball hem demostrat la interacció entre la MP del AMV i dos membres de la família de </w:t>
      </w:r>
      <w:proofErr w:type="spellStart"/>
      <w:r>
        <w:rPr>
          <w:sz w:val="24"/>
          <w:szCs w:val="24"/>
          <w:lang w:val="ca-ES"/>
        </w:rPr>
        <w:t>patellines</w:t>
      </w:r>
      <w:proofErr w:type="spellEnd"/>
      <w:r>
        <w:rPr>
          <w:sz w:val="24"/>
          <w:szCs w:val="24"/>
          <w:lang w:val="ca-ES"/>
        </w:rPr>
        <w:t xml:space="preserve"> </w:t>
      </w:r>
      <w:proofErr w:type="spellStart"/>
      <w:r>
        <w:rPr>
          <w:sz w:val="24"/>
          <w:szCs w:val="24"/>
          <w:lang w:val="ca-ES"/>
        </w:rPr>
        <w:t>d’Arabidopsis</w:t>
      </w:r>
      <w:proofErr w:type="spellEnd"/>
      <w:r>
        <w:rPr>
          <w:sz w:val="24"/>
          <w:szCs w:val="24"/>
          <w:lang w:val="ca-ES"/>
        </w:rPr>
        <w:t xml:space="preserve">, </w:t>
      </w:r>
      <w:proofErr w:type="spellStart"/>
      <w:r>
        <w:rPr>
          <w:sz w:val="24"/>
          <w:szCs w:val="24"/>
          <w:lang w:val="ca-ES"/>
        </w:rPr>
        <w:t>patellin</w:t>
      </w:r>
      <w:proofErr w:type="spellEnd"/>
      <w:r>
        <w:rPr>
          <w:sz w:val="24"/>
          <w:szCs w:val="24"/>
          <w:lang w:val="ca-ES"/>
        </w:rPr>
        <w:t xml:space="preserve"> 3 (atPATL3) i </w:t>
      </w:r>
      <w:proofErr w:type="spellStart"/>
      <w:r>
        <w:rPr>
          <w:sz w:val="24"/>
          <w:szCs w:val="24"/>
          <w:lang w:val="ca-ES"/>
        </w:rPr>
        <w:t>patellin</w:t>
      </w:r>
      <w:proofErr w:type="spellEnd"/>
      <w:r>
        <w:rPr>
          <w:sz w:val="24"/>
          <w:szCs w:val="24"/>
          <w:lang w:val="ca-ES"/>
        </w:rPr>
        <w:t xml:space="preserve"> 6 (atPATL6), mitjançant el sistema dels dos híbrids de llevat i assajos de reconstitució bimolecular de la fluorescència. En general, els nostres resultats, demostren que la interacció MP-</w:t>
      </w:r>
      <w:proofErr w:type="spellStart"/>
      <w:r>
        <w:rPr>
          <w:sz w:val="24"/>
          <w:szCs w:val="24"/>
          <w:lang w:val="ca-ES"/>
        </w:rPr>
        <w:t>PATLs</w:t>
      </w:r>
      <w:proofErr w:type="spellEnd"/>
      <w:r>
        <w:rPr>
          <w:sz w:val="24"/>
          <w:szCs w:val="24"/>
          <w:lang w:val="ca-ES"/>
        </w:rPr>
        <w:t xml:space="preserve"> dificultaria un correcte adreçament de la MP al PD, ocasionant un moviment intracel·lular dels complexes virals, que forma la MP, menys eficient i disminuint el moviment cèl·lula a cèl·lula del virus. Aquest procés podria constituir un possible mecanisme de defensa de la planta, que tracta d’evitar la invasió sistèmica de l’hoste. En aquest sentit, les </w:t>
      </w:r>
      <w:proofErr w:type="spellStart"/>
      <w:r>
        <w:rPr>
          <w:sz w:val="24"/>
          <w:szCs w:val="24"/>
          <w:lang w:val="ca-ES"/>
        </w:rPr>
        <w:t>MPs</w:t>
      </w:r>
      <w:proofErr w:type="spellEnd"/>
      <w:r>
        <w:rPr>
          <w:sz w:val="24"/>
          <w:szCs w:val="24"/>
          <w:lang w:val="ca-ES"/>
        </w:rPr>
        <w:t xml:space="preserve"> virals </w:t>
      </w:r>
      <w:r>
        <w:rPr>
          <w:sz w:val="24"/>
          <w:szCs w:val="24"/>
          <w:lang w:val="ca-ES"/>
        </w:rPr>
        <w:lastRenderedPageBreak/>
        <w:t xml:space="preserve">poden ser bones candidates per al desenvolupament d’estratègies antivirals, ja que qualsevol resposta de defensa de la planta que, inicialment, </w:t>
      </w:r>
      <w:proofErr w:type="spellStart"/>
      <w:r>
        <w:rPr>
          <w:sz w:val="24"/>
          <w:szCs w:val="24"/>
          <w:lang w:val="ca-ES"/>
        </w:rPr>
        <w:t>reduïsca</w:t>
      </w:r>
      <w:proofErr w:type="spellEnd"/>
      <w:r>
        <w:rPr>
          <w:sz w:val="24"/>
          <w:szCs w:val="24"/>
          <w:lang w:val="ca-ES"/>
        </w:rPr>
        <w:t xml:space="preserve"> el transport cèl·lula a cèl·lula del virus, pot representar la diferència entre infectar o no </w:t>
      </w:r>
      <w:proofErr w:type="spellStart"/>
      <w:r>
        <w:rPr>
          <w:sz w:val="24"/>
          <w:szCs w:val="24"/>
          <w:lang w:val="ca-ES"/>
        </w:rPr>
        <w:t>sistèmicament</w:t>
      </w:r>
      <w:proofErr w:type="spellEnd"/>
      <w:r>
        <w:rPr>
          <w:sz w:val="24"/>
          <w:szCs w:val="24"/>
          <w:lang w:val="ca-ES"/>
        </w:rPr>
        <w:t xml:space="preserve"> un determinat hoste, com hem observat al Capítol 2 d’aquest treball. Els virus, alhora, també són capaços d’evolucionar cap a variants més eficaces, que permeten superar els diferents obstacles defensius de la planta hoste. En aquest context, hem identificat la MP del </w:t>
      </w:r>
      <w:r>
        <w:rPr>
          <w:i/>
          <w:sz w:val="24"/>
          <w:szCs w:val="24"/>
          <w:lang w:val="ca-ES"/>
        </w:rPr>
        <w:t>Virus del bronzejat de la tomaca</w:t>
      </w:r>
      <w:r>
        <w:rPr>
          <w:sz w:val="24"/>
          <w:szCs w:val="24"/>
          <w:lang w:val="ca-ES"/>
        </w:rPr>
        <w:t xml:space="preserve"> (TSWV) com a determinant </w:t>
      </w:r>
      <w:proofErr w:type="spellStart"/>
      <w:r>
        <w:rPr>
          <w:sz w:val="24"/>
          <w:szCs w:val="24"/>
          <w:lang w:val="ca-ES"/>
        </w:rPr>
        <w:t>d’avirulència</w:t>
      </w:r>
      <w:proofErr w:type="spellEnd"/>
      <w:r>
        <w:rPr>
          <w:sz w:val="24"/>
          <w:szCs w:val="24"/>
          <w:lang w:val="ca-ES"/>
        </w:rPr>
        <w:t xml:space="preserve"> a la resistència deguda al gen </w:t>
      </w:r>
      <w:r>
        <w:rPr>
          <w:i/>
          <w:sz w:val="24"/>
          <w:szCs w:val="24"/>
          <w:lang w:val="ca-ES"/>
        </w:rPr>
        <w:t>Sw-5</w:t>
      </w:r>
      <w:r>
        <w:rPr>
          <w:sz w:val="24"/>
          <w:szCs w:val="24"/>
          <w:lang w:val="ca-ES"/>
        </w:rPr>
        <w:t>. De la mateixa manera, vam comprovar que el canvi d’ 1 o 2 aminoàcids a la MP del TSWV va ser suficient per a superar la resistència però alhora, i possiblement a causa de les altes restriccions que particularitza el reduït genoma del virus, aquests canvis van afectar l’eficiència de la MP.</w:t>
      </w:r>
    </w:p>
    <w:p w:rsidR="00456F93" w:rsidRPr="00F035CE" w:rsidRDefault="00F035CE">
      <w:pPr>
        <w:rPr>
          <w:lang w:val="ca-ES"/>
        </w:rPr>
      </w:pPr>
      <w:bookmarkStart w:id="0" w:name="_GoBack"/>
      <w:bookmarkEnd w:id="0"/>
    </w:p>
    <w:sectPr w:rsidR="00456F93" w:rsidRPr="00F035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5CE"/>
    <w:rsid w:val="009D535C"/>
    <w:rsid w:val="00EB5BCE"/>
    <w:rsid w:val="00F035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5C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5C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40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5148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anpeimo</dc:creator>
  <cp:lastModifiedBy>anpeimo</cp:lastModifiedBy>
  <cp:revision>1</cp:revision>
  <dcterms:created xsi:type="dcterms:W3CDTF">2014-10-20T17:38:00Z</dcterms:created>
  <dcterms:modified xsi:type="dcterms:W3CDTF">2014-10-20T17:39:00Z</dcterms:modified>
</cp:coreProperties>
</file>