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6FE" w:rsidRPr="00612CBB" w:rsidRDefault="00EF36FE" w:rsidP="00EF36F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12CBB">
        <w:rPr>
          <w:rFonts w:ascii="Arial" w:hAnsi="Arial" w:cs="Arial"/>
          <w:b/>
          <w:bCs/>
          <w:sz w:val="24"/>
          <w:szCs w:val="24"/>
        </w:rPr>
        <w:t>Índice</w:t>
      </w:r>
    </w:p>
    <w:p w:rsidR="00EF36FE" w:rsidRPr="004A12B2" w:rsidRDefault="00EF36FE" w:rsidP="00EF36FE">
      <w:pPr>
        <w:pStyle w:val="TDC1"/>
        <w:rPr>
          <w:rFonts w:ascii="Arial" w:hAnsi="Arial" w:cs="Arial"/>
          <w:sz w:val="22"/>
          <w:szCs w:val="22"/>
        </w:rPr>
      </w:pPr>
    </w:p>
    <w:p w:rsidR="00EF36FE" w:rsidRDefault="00EF36FE" w:rsidP="00EF36FE">
      <w:pPr>
        <w:pStyle w:val="TDC1"/>
        <w:rPr>
          <w:rFonts w:asciiTheme="minorHAnsi" w:eastAsiaTheme="minorEastAsia" w:hAnsiTheme="minorHAnsi" w:cstheme="minorBidi"/>
          <w:sz w:val="22"/>
          <w:szCs w:val="22"/>
        </w:rPr>
      </w:pPr>
      <w:r w:rsidRPr="004A12B2">
        <w:rPr>
          <w:rFonts w:ascii="Arial" w:hAnsi="Arial" w:cs="Arial"/>
          <w:sz w:val="22"/>
          <w:szCs w:val="22"/>
        </w:rPr>
        <w:fldChar w:fldCharType="begin"/>
      </w:r>
      <w:r w:rsidRPr="004A12B2">
        <w:rPr>
          <w:rFonts w:ascii="Arial" w:hAnsi="Arial" w:cs="Arial"/>
          <w:sz w:val="22"/>
          <w:szCs w:val="22"/>
        </w:rPr>
        <w:instrText xml:space="preserve"> TOC \o "1-3" \h \z </w:instrText>
      </w:r>
      <w:r w:rsidRPr="004A12B2">
        <w:rPr>
          <w:rFonts w:ascii="Arial" w:hAnsi="Arial" w:cs="Arial"/>
          <w:sz w:val="22"/>
          <w:szCs w:val="22"/>
        </w:rPr>
        <w:fldChar w:fldCharType="separate"/>
      </w:r>
      <w:hyperlink w:anchor="_Toc365659415" w:history="1">
        <w:r w:rsidRPr="00EF36FE">
          <w:rPr>
            <w:rStyle w:val="Hipervnculo"/>
            <w:b/>
          </w:rPr>
          <w:t>I.   Introducción y Objetivos</w:t>
        </w:r>
        <w:r>
          <w:rPr>
            <w:webHidden/>
          </w:rPr>
          <w:tab/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webHidden/>
            <w:sz w:val="22"/>
            <w:szCs w:val="22"/>
          </w:rPr>
          <w:instrText xml:space="preserve"> PAGEREF _Toc365659415 \h </w:instrText>
        </w:r>
        <w:r w:rsidRPr="00F640E0">
          <w:rPr>
            <w:rFonts w:ascii="Arial" w:hAnsi="Arial" w:cs="Arial"/>
            <w:webHidden/>
            <w:sz w:val="22"/>
            <w:szCs w:val="22"/>
          </w:rPr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webHidden/>
            <w:sz w:val="22"/>
            <w:szCs w:val="22"/>
          </w:rPr>
          <w:t>17</w:t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1"/>
        <w:rPr>
          <w:rFonts w:asciiTheme="minorHAnsi" w:eastAsiaTheme="minorEastAsia" w:hAnsiTheme="minorHAnsi" w:cstheme="minorBidi"/>
          <w:sz w:val="22"/>
          <w:szCs w:val="22"/>
        </w:rPr>
      </w:pPr>
      <w:hyperlink w:anchor="_Toc365659416" w:history="1">
        <w:r w:rsidRPr="006D1E41">
          <w:rPr>
            <w:rStyle w:val="Hipervnculo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D1E41">
          <w:rPr>
            <w:rStyle w:val="Hipervnculo"/>
          </w:rPr>
          <w:t>Introducción y Objetivos</w:t>
        </w:r>
        <w:r>
          <w:rPr>
            <w:webHidden/>
          </w:rPr>
          <w:tab/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webHidden/>
            <w:sz w:val="22"/>
            <w:szCs w:val="22"/>
          </w:rPr>
          <w:instrText xml:space="preserve"> PAGEREF _Toc365659416 \h </w:instrText>
        </w:r>
        <w:r w:rsidRPr="00F640E0">
          <w:rPr>
            <w:rFonts w:ascii="Arial" w:hAnsi="Arial" w:cs="Arial"/>
            <w:webHidden/>
            <w:sz w:val="22"/>
            <w:szCs w:val="22"/>
          </w:rPr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webHidden/>
            <w:sz w:val="22"/>
            <w:szCs w:val="22"/>
          </w:rPr>
          <w:t>19</w:t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1"/>
        <w:rPr>
          <w:rFonts w:asciiTheme="minorHAnsi" w:eastAsiaTheme="minorEastAsia" w:hAnsiTheme="minorHAnsi" w:cstheme="minorBidi"/>
          <w:sz w:val="22"/>
          <w:szCs w:val="22"/>
        </w:rPr>
      </w:pPr>
      <w:hyperlink w:anchor="_Toc365659417" w:history="1">
        <w:r w:rsidRPr="00EF36FE">
          <w:rPr>
            <w:rStyle w:val="Hipervnculo"/>
            <w:b/>
          </w:rPr>
          <w:t>II. Evolución histórica de la volatilidad</w:t>
        </w:r>
        <w:r>
          <w:rPr>
            <w:webHidden/>
          </w:rPr>
          <w:tab/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webHidden/>
            <w:sz w:val="22"/>
            <w:szCs w:val="22"/>
          </w:rPr>
          <w:instrText xml:space="preserve"> PAGEREF _Toc365659417 \h </w:instrText>
        </w:r>
        <w:r w:rsidRPr="00F640E0">
          <w:rPr>
            <w:rFonts w:ascii="Arial" w:hAnsi="Arial" w:cs="Arial"/>
            <w:webHidden/>
            <w:sz w:val="22"/>
            <w:szCs w:val="22"/>
          </w:rPr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webHidden/>
            <w:sz w:val="22"/>
            <w:szCs w:val="22"/>
          </w:rPr>
          <w:t>27</w:t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1"/>
        <w:rPr>
          <w:rFonts w:asciiTheme="minorHAnsi" w:eastAsiaTheme="minorEastAsia" w:hAnsiTheme="minorHAnsi" w:cstheme="minorBidi"/>
          <w:sz w:val="22"/>
          <w:szCs w:val="22"/>
        </w:rPr>
      </w:pPr>
      <w:hyperlink w:anchor="_Toc365659418" w:history="1">
        <w:r w:rsidRPr="006D1E41">
          <w:rPr>
            <w:rStyle w:val="Hipervnculo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D1E41">
          <w:rPr>
            <w:rStyle w:val="Hipervnculo"/>
          </w:rPr>
          <w:t>Evolución histórica de la volatilidad</w:t>
        </w:r>
        <w:r>
          <w:rPr>
            <w:webHidden/>
          </w:rPr>
          <w:tab/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webHidden/>
            <w:sz w:val="22"/>
            <w:szCs w:val="22"/>
          </w:rPr>
          <w:instrText xml:space="preserve"> PAGEREF _Toc365659418 \h </w:instrText>
        </w:r>
        <w:r w:rsidRPr="00F640E0">
          <w:rPr>
            <w:rFonts w:ascii="Arial" w:hAnsi="Arial" w:cs="Arial"/>
            <w:webHidden/>
            <w:sz w:val="22"/>
            <w:szCs w:val="22"/>
          </w:rPr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webHidden/>
            <w:sz w:val="22"/>
            <w:szCs w:val="22"/>
          </w:rPr>
          <w:t>29</w:t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1"/>
        <w:rPr>
          <w:rFonts w:asciiTheme="minorHAnsi" w:eastAsiaTheme="minorEastAsia" w:hAnsiTheme="minorHAnsi" w:cstheme="minorBidi"/>
          <w:sz w:val="22"/>
          <w:szCs w:val="22"/>
        </w:rPr>
      </w:pPr>
      <w:hyperlink w:anchor="_Toc365659419" w:history="1">
        <w:r w:rsidRPr="00EF36FE">
          <w:rPr>
            <w:rStyle w:val="Hipervnculo"/>
            <w:b/>
          </w:rPr>
          <w:t>III. Modelización de la Volatilidad: Modelos GARCH</w:t>
        </w:r>
        <w:r>
          <w:rPr>
            <w:webHidden/>
          </w:rPr>
          <w:tab/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webHidden/>
            <w:sz w:val="22"/>
            <w:szCs w:val="22"/>
          </w:rPr>
          <w:instrText xml:space="preserve"> PAGEREF _Toc365659419 \h </w:instrText>
        </w:r>
        <w:r w:rsidRPr="00F640E0">
          <w:rPr>
            <w:rFonts w:ascii="Arial" w:hAnsi="Arial" w:cs="Arial"/>
            <w:webHidden/>
            <w:sz w:val="22"/>
            <w:szCs w:val="22"/>
          </w:rPr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webHidden/>
            <w:sz w:val="22"/>
            <w:szCs w:val="22"/>
          </w:rPr>
          <w:t>39</w:t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1"/>
        <w:rPr>
          <w:rFonts w:asciiTheme="minorHAnsi" w:eastAsiaTheme="minorEastAsia" w:hAnsiTheme="minorHAnsi" w:cstheme="minorBidi"/>
          <w:sz w:val="22"/>
          <w:szCs w:val="22"/>
        </w:rPr>
      </w:pPr>
      <w:hyperlink w:anchor="_Toc365659420" w:history="1">
        <w:r w:rsidRPr="006D1E41">
          <w:rPr>
            <w:rStyle w:val="Hipervnculo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D1E41">
          <w:rPr>
            <w:rStyle w:val="Hipervnculo"/>
          </w:rPr>
          <w:t>Modelización de la Volatilidad: Modelos GARCH</w:t>
        </w:r>
        <w:r>
          <w:rPr>
            <w:webHidden/>
          </w:rPr>
          <w:tab/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webHidden/>
            <w:sz w:val="22"/>
            <w:szCs w:val="22"/>
          </w:rPr>
          <w:instrText xml:space="preserve"> PAGEREF _Toc365659420 \h </w:instrText>
        </w:r>
        <w:r w:rsidRPr="00F640E0">
          <w:rPr>
            <w:rFonts w:ascii="Arial" w:hAnsi="Arial" w:cs="Arial"/>
            <w:webHidden/>
            <w:sz w:val="22"/>
            <w:szCs w:val="22"/>
          </w:rPr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webHidden/>
            <w:sz w:val="22"/>
            <w:szCs w:val="22"/>
          </w:rPr>
          <w:t>41</w:t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21" w:history="1">
        <w:r w:rsidRPr="006D1E41">
          <w:rPr>
            <w:rStyle w:val="Hipervnculo"/>
          </w:rPr>
          <w:t>3.1.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Concepto de Volatilidad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22" w:history="1">
        <w:r w:rsidRPr="006D1E41">
          <w:rPr>
            <w:rStyle w:val="Hipervnculo"/>
          </w:rPr>
          <w:t>3.2.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Medidas de Volatilidad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23" w:history="1">
        <w:r w:rsidRPr="006D1E41">
          <w:rPr>
            <w:rStyle w:val="Hipervnculo"/>
          </w:rPr>
          <w:t>3.3.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Modelos Univariantes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24" w:history="1">
        <w:r w:rsidRPr="006D1E41">
          <w:rPr>
            <w:rStyle w:val="Hipervnculo"/>
          </w:rPr>
          <w:t>3.4.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Modelos Multivariantes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3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5659425" w:history="1">
        <w:r w:rsidRPr="006D1E41">
          <w:rPr>
            <w:rStyle w:val="Hipervnculo"/>
            <w:rFonts w:ascii="Arial" w:hAnsi="Arial" w:cs="Arial"/>
            <w:noProof/>
          </w:rPr>
          <w:t>3.4.1.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6D1E41">
          <w:rPr>
            <w:rStyle w:val="Hipervnculo"/>
            <w:rFonts w:ascii="Arial" w:hAnsi="Arial" w:cs="Arial"/>
            <w:noProof/>
          </w:rPr>
          <w:t>Modelo de corrección constante</w:t>
        </w:r>
        <w:r>
          <w:rPr>
            <w:noProof/>
            <w:webHidden/>
          </w:rPr>
          <w:tab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_Toc365659425 \h </w:instrTex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64</w: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3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5659426" w:history="1">
        <w:r w:rsidRPr="006D1E41">
          <w:rPr>
            <w:rStyle w:val="Hipervnculo"/>
            <w:rFonts w:ascii="Arial" w:hAnsi="Arial" w:cs="Arial"/>
            <w:noProof/>
          </w:rPr>
          <w:t>3.4.2.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6D1E41">
          <w:rPr>
            <w:rStyle w:val="Hipervnculo"/>
            <w:rFonts w:ascii="Arial" w:hAnsi="Arial" w:cs="Arial"/>
            <w:noProof/>
          </w:rPr>
          <w:t>Modelo Vech</w:t>
        </w:r>
        <w:r>
          <w:rPr>
            <w:noProof/>
            <w:webHidden/>
          </w:rPr>
          <w:tab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_Toc365659426 \h </w:instrTex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64</w: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3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5659427" w:history="1">
        <w:r w:rsidRPr="006D1E41">
          <w:rPr>
            <w:rStyle w:val="Hipervnculo"/>
            <w:rFonts w:ascii="Arial" w:hAnsi="Arial" w:cs="Arial"/>
            <w:noProof/>
          </w:rPr>
          <w:t>3.4.3.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6D1E41">
          <w:rPr>
            <w:rStyle w:val="Hipervnculo"/>
            <w:rFonts w:ascii="Arial" w:hAnsi="Arial" w:cs="Arial"/>
            <w:noProof/>
          </w:rPr>
          <w:t>Modelo BEKK</w:t>
        </w:r>
        <w:r>
          <w:rPr>
            <w:noProof/>
            <w:webHidden/>
          </w:rPr>
          <w:tab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_Toc365659427 \h </w:instrTex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66</w: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28" w:history="1">
        <w:r w:rsidRPr="006D1E41">
          <w:rPr>
            <w:rStyle w:val="Hipervnculo"/>
          </w:rPr>
          <w:t>3.5.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Estimación de los modelos ARCH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67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1"/>
        <w:rPr>
          <w:rFonts w:asciiTheme="minorHAnsi" w:eastAsiaTheme="minorEastAsia" w:hAnsiTheme="minorHAnsi" w:cstheme="minorBidi"/>
          <w:sz w:val="22"/>
          <w:szCs w:val="22"/>
        </w:rPr>
      </w:pPr>
      <w:hyperlink w:anchor="_Toc365659429" w:history="1">
        <w:r w:rsidRPr="00EF36FE">
          <w:rPr>
            <w:rStyle w:val="Hipervnculo"/>
            <w:b/>
          </w:rPr>
          <w:t>IV. Las Redes Neuronales Artificiales</w:t>
        </w:r>
        <w:r>
          <w:rPr>
            <w:webHidden/>
          </w:rPr>
          <w:tab/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webHidden/>
            <w:sz w:val="22"/>
            <w:szCs w:val="22"/>
          </w:rPr>
          <w:instrText xml:space="preserve"> PAGEREF _Toc365659429 \h </w:instrText>
        </w:r>
        <w:r w:rsidRPr="00F640E0">
          <w:rPr>
            <w:rFonts w:ascii="Arial" w:hAnsi="Arial" w:cs="Arial"/>
            <w:webHidden/>
            <w:sz w:val="22"/>
            <w:szCs w:val="22"/>
          </w:rPr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webHidden/>
            <w:sz w:val="22"/>
            <w:szCs w:val="22"/>
          </w:rPr>
          <w:t>69</w:t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1"/>
        <w:rPr>
          <w:rFonts w:asciiTheme="minorHAnsi" w:eastAsiaTheme="minorEastAsia" w:hAnsiTheme="minorHAnsi" w:cstheme="minorBidi"/>
          <w:sz w:val="22"/>
          <w:szCs w:val="22"/>
        </w:rPr>
      </w:pPr>
      <w:hyperlink w:anchor="_Toc365659430" w:history="1">
        <w:r w:rsidRPr="006D1E41">
          <w:rPr>
            <w:rStyle w:val="Hipervnculo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D1E41">
          <w:rPr>
            <w:rStyle w:val="Hipervnculo"/>
          </w:rPr>
          <w:t>Las Redes Neuronales Artificiales</w:t>
        </w:r>
        <w:r>
          <w:rPr>
            <w:webHidden/>
          </w:rPr>
          <w:tab/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webHidden/>
            <w:sz w:val="22"/>
            <w:szCs w:val="22"/>
          </w:rPr>
          <w:instrText xml:space="preserve"> PAGEREF _Toc365659430 \h </w:instrText>
        </w:r>
        <w:r w:rsidRPr="00F640E0">
          <w:rPr>
            <w:rFonts w:ascii="Arial" w:hAnsi="Arial" w:cs="Arial"/>
            <w:webHidden/>
            <w:sz w:val="22"/>
            <w:szCs w:val="22"/>
          </w:rPr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webHidden/>
            <w:sz w:val="22"/>
            <w:szCs w:val="22"/>
          </w:rPr>
          <w:t>71</w:t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31" w:history="1">
        <w:r w:rsidRPr="006D1E41">
          <w:rPr>
            <w:rStyle w:val="Hipervnculo"/>
          </w:rPr>
          <w:t>4.1.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Introducción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71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32" w:history="1">
        <w:r w:rsidRPr="006D1E41">
          <w:rPr>
            <w:rStyle w:val="Hipervnculo"/>
          </w:rPr>
          <w:t>4.2.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Fundamentos Biológicos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76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33" w:history="1">
        <w:r w:rsidRPr="006D1E41">
          <w:rPr>
            <w:rStyle w:val="Hipervnculo"/>
          </w:rPr>
          <w:t>4.3.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Estructura y Elementos de las RNA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80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3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5659434" w:history="1">
        <w:r w:rsidRPr="006D1E41">
          <w:rPr>
            <w:rStyle w:val="Hipervnculo"/>
            <w:rFonts w:ascii="Arial" w:hAnsi="Arial" w:cs="Arial"/>
            <w:noProof/>
          </w:rPr>
          <w:t>4.3.1.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6D1E41">
          <w:rPr>
            <w:rStyle w:val="Hipervnculo"/>
            <w:rFonts w:ascii="Arial" w:hAnsi="Arial" w:cs="Arial"/>
            <w:noProof/>
          </w:rPr>
          <w:t>Las neuronas artificiales</w:t>
        </w:r>
        <w:r>
          <w:rPr>
            <w:noProof/>
            <w:webHidden/>
          </w:rPr>
          <w:tab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_Toc365659434 \h </w:instrTex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80</w: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3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5659435" w:history="1">
        <w:r w:rsidRPr="006D1E41">
          <w:rPr>
            <w:rStyle w:val="Hipervnculo"/>
            <w:rFonts w:ascii="Arial" w:hAnsi="Arial" w:cs="Arial"/>
            <w:noProof/>
          </w:rPr>
          <w:t>4.3.2.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6D1E41">
          <w:rPr>
            <w:rStyle w:val="Hipervnculo"/>
            <w:rFonts w:ascii="Arial" w:hAnsi="Arial" w:cs="Arial"/>
            <w:noProof/>
          </w:rPr>
          <w:t>Estado de Activación</w:t>
        </w:r>
        <w:r>
          <w:rPr>
            <w:noProof/>
            <w:webHidden/>
          </w:rPr>
          <w:tab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_Toc365659435 \h </w:instrTex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83</w: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3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5659436" w:history="1">
        <w:r w:rsidRPr="006D1E41">
          <w:rPr>
            <w:rStyle w:val="Hipervnculo"/>
            <w:rFonts w:ascii="Arial" w:hAnsi="Arial" w:cs="Arial"/>
            <w:noProof/>
          </w:rPr>
          <w:t>4.3.3.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6D1E41">
          <w:rPr>
            <w:rStyle w:val="Hipervnculo"/>
            <w:rFonts w:ascii="Arial" w:hAnsi="Arial" w:cs="Arial"/>
            <w:noProof/>
          </w:rPr>
          <w:t>Función de Activación o de Transferencia</w:t>
        </w:r>
        <w:r>
          <w:rPr>
            <w:noProof/>
            <w:webHidden/>
          </w:rPr>
          <w:tab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_Toc365659436 \h </w:instrTex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84</w: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3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5659437" w:history="1">
        <w:r w:rsidRPr="006D1E41">
          <w:rPr>
            <w:rStyle w:val="Hipervnculo"/>
            <w:rFonts w:ascii="Arial" w:hAnsi="Arial" w:cs="Arial"/>
            <w:noProof/>
          </w:rPr>
          <w:t>4.3.4.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6D1E41">
          <w:rPr>
            <w:rStyle w:val="Hipervnculo"/>
            <w:rFonts w:ascii="Arial" w:hAnsi="Arial" w:cs="Arial"/>
            <w:noProof/>
          </w:rPr>
          <w:t>Función de salida</w:t>
        </w:r>
        <w:r>
          <w:rPr>
            <w:noProof/>
            <w:webHidden/>
          </w:rPr>
          <w:tab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_Toc365659437 \h </w:instrTex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85</w: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3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5659438" w:history="1">
        <w:r w:rsidRPr="006D1E41">
          <w:rPr>
            <w:rStyle w:val="Hipervnculo"/>
            <w:rFonts w:ascii="Arial" w:hAnsi="Arial" w:cs="Arial"/>
            <w:noProof/>
          </w:rPr>
          <w:t>4.3.5.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6D1E41">
          <w:rPr>
            <w:rStyle w:val="Hipervnculo"/>
            <w:rFonts w:ascii="Arial" w:hAnsi="Arial" w:cs="Arial"/>
            <w:noProof/>
          </w:rPr>
          <w:t>Mecanismos o Reglas de Aprendizaje</w:t>
        </w:r>
        <w:r>
          <w:rPr>
            <w:noProof/>
            <w:webHidden/>
          </w:rPr>
          <w:tab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_Toc365659438 \h </w:instrTex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89</w: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3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5659439" w:history="1">
        <w:r w:rsidRPr="006D1E41">
          <w:rPr>
            <w:rStyle w:val="Hipervnculo"/>
            <w:rFonts w:ascii="Arial" w:hAnsi="Arial" w:cs="Arial"/>
            <w:noProof/>
          </w:rPr>
          <w:t>4.3.6.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6D1E41">
          <w:rPr>
            <w:rStyle w:val="Hipervnculo"/>
            <w:rFonts w:ascii="Arial" w:hAnsi="Arial" w:cs="Arial"/>
            <w:noProof/>
          </w:rPr>
          <w:t>Aprendizaje supervisado</w:t>
        </w:r>
        <w:r>
          <w:rPr>
            <w:noProof/>
            <w:webHidden/>
          </w:rPr>
          <w:tab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_Toc365659439 \h </w:instrTex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92</w: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3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5659440" w:history="1">
        <w:r w:rsidRPr="006D1E41">
          <w:rPr>
            <w:rStyle w:val="Hipervnculo"/>
            <w:rFonts w:ascii="Arial" w:hAnsi="Arial" w:cs="Arial"/>
            <w:noProof/>
          </w:rPr>
          <w:t>4.3.7.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6D1E41">
          <w:rPr>
            <w:rStyle w:val="Hipervnculo"/>
            <w:rFonts w:ascii="Arial" w:hAnsi="Arial" w:cs="Arial"/>
            <w:noProof/>
          </w:rPr>
          <w:t>Aprendizaje no supervisado</w:t>
        </w:r>
        <w:r>
          <w:rPr>
            <w:noProof/>
            <w:webHidden/>
          </w:rPr>
          <w:tab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_Toc365659440 \h </w:instrTex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96</w: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3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5659441" w:history="1">
        <w:r w:rsidRPr="006D1E41">
          <w:rPr>
            <w:rStyle w:val="Hipervnculo"/>
            <w:rFonts w:ascii="Arial" w:hAnsi="Arial" w:cs="Arial"/>
            <w:noProof/>
          </w:rPr>
          <w:t>4.3.8.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6D1E41">
          <w:rPr>
            <w:rStyle w:val="Hipervnculo"/>
            <w:rFonts w:ascii="Arial" w:hAnsi="Arial" w:cs="Arial"/>
            <w:noProof/>
          </w:rPr>
          <w:t>Relación entre la información de entrada y salida de la RNA</w:t>
        </w:r>
        <w:r>
          <w:rPr>
            <w:rStyle w:val="Hipervnculo"/>
            <w:rFonts w:ascii="Arial" w:hAnsi="Arial" w:cs="Arial"/>
            <w:noProof/>
          </w:rPr>
          <w:t>…….</w:t>
        </w:r>
        <w:r>
          <w:rPr>
            <w:noProof/>
            <w:webHidden/>
          </w:rPr>
          <w:tab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_Toc365659441 \h </w:instrTex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99</w: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42" w:history="1">
        <w:r w:rsidRPr="006D1E41">
          <w:rPr>
            <w:rStyle w:val="Hipervnculo"/>
          </w:rPr>
          <w:t>4.4.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RNA con conexiones hacia adelante: Backpropagation</w:t>
        </w:r>
        <w:r>
          <w:rPr>
            <w:rStyle w:val="Hipervnculo"/>
          </w:rPr>
          <w:t>..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101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3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5659443" w:history="1">
        <w:r w:rsidRPr="006D1E41">
          <w:rPr>
            <w:rStyle w:val="Hipervnculo"/>
            <w:rFonts w:ascii="Arial" w:hAnsi="Arial" w:cs="Arial"/>
            <w:noProof/>
          </w:rPr>
          <w:t>4.4.1.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6D1E41">
          <w:rPr>
            <w:rStyle w:val="Hipervnculo"/>
            <w:rFonts w:ascii="Arial" w:hAnsi="Arial" w:cs="Arial"/>
            <w:noProof/>
          </w:rPr>
          <w:t>El Aprendizaje Backpropagation: La Regla Delta Generalizada</w:t>
        </w:r>
        <w:r>
          <w:rPr>
            <w:noProof/>
            <w:webHidden/>
          </w:rPr>
          <w:tab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_Toc365659443 \h </w:instrTex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102</w: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3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5659444" w:history="1">
        <w:r w:rsidRPr="006D1E41">
          <w:rPr>
            <w:rStyle w:val="Hipervnculo"/>
            <w:rFonts w:ascii="Arial" w:hAnsi="Arial" w:cs="Arial"/>
            <w:noProof/>
          </w:rPr>
          <w:t>4.4.2.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6D1E41">
          <w:rPr>
            <w:rStyle w:val="Hipervnculo"/>
            <w:rFonts w:ascii="Arial" w:hAnsi="Arial" w:cs="Arial"/>
            <w:noProof/>
          </w:rPr>
          <w:t>Estructura y Aprendizaje de la Red Backpropagation</w:t>
        </w:r>
        <w:r>
          <w:rPr>
            <w:noProof/>
            <w:webHidden/>
          </w:rPr>
          <w:tab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_Toc365659444 \h </w:instrTex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106</w:t>
        </w:r>
        <w:r w:rsidRPr="00F640E0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1"/>
        <w:rPr>
          <w:rFonts w:asciiTheme="minorHAnsi" w:eastAsiaTheme="minorEastAsia" w:hAnsiTheme="minorHAnsi" w:cstheme="minorBidi"/>
          <w:sz w:val="22"/>
          <w:szCs w:val="22"/>
        </w:rPr>
      </w:pPr>
      <w:hyperlink w:anchor="_Toc365659445" w:history="1">
        <w:r w:rsidRPr="00425B4C">
          <w:rPr>
            <w:rStyle w:val="Hipervnculo"/>
            <w:b/>
          </w:rPr>
          <w:t>V. Estudio comparativo entre modelo EGARCH y la Red Neuronal Backpropagation: Aplicación sobre la volatilidad condicional de índices bursátiles internacionales</w:t>
        </w:r>
        <w:r>
          <w:rPr>
            <w:webHidden/>
          </w:rPr>
          <w:tab/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webHidden/>
            <w:sz w:val="22"/>
            <w:szCs w:val="22"/>
          </w:rPr>
          <w:instrText xml:space="preserve"> PAGEREF _Toc365659445 \h </w:instrText>
        </w:r>
        <w:r w:rsidRPr="00F640E0">
          <w:rPr>
            <w:rFonts w:ascii="Arial" w:hAnsi="Arial" w:cs="Arial"/>
            <w:webHidden/>
            <w:sz w:val="22"/>
            <w:szCs w:val="22"/>
          </w:rPr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webHidden/>
            <w:sz w:val="22"/>
            <w:szCs w:val="22"/>
          </w:rPr>
          <w:t>115</w:t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1"/>
        <w:rPr>
          <w:rFonts w:asciiTheme="minorHAnsi" w:eastAsiaTheme="minorEastAsia" w:hAnsiTheme="minorHAnsi" w:cstheme="minorBidi"/>
          <w:sz w:val="22"/>
          <w:szCs w:val="22"/>
        </w:rPr>
      </w:pPr>
      <w:hyperlink w:anchor="_Toc365659446" w:history="1">
        <w:r w:rsidRPr="006D1E41">
          <w:rPr>
            <w:rStyle w:val="Hipervnculo"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D1E41">
          <w:rPr>
            <w:rStyle w:val="Hipervnculo"/>
          </w:rPr>
          <w:t>Estudio comparativo entre el modelo EGARCH y la Red Neuronal Backpropagation: Aplicación sobre la volatilidad condicional de índices bursátiles internacionales</w:t>
        </w:r>
        <w:r>
          <w:rPr>
            <w:webHidden/>
          </w:rPr>
          <w:tab/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webHidden/>
            <w:sz w:val="22"/>
            <w:szCs w:val="22"/>
          </w:rPr>
          <w:instrText xml:space="preserve"> PAGEREF _Toc365659446 \h </w:instrText>
        </w:r>
        <w:r w:rsidRPr="00F640E0">
          <w:rPr>
            <w:rFonts w:ascii="Arial" w:hAnsi="Arial" w:cs="Arial"/>
            <w:webHidden/>
            <w:sz w:val="22"/>
            <w:szCs w:val="22"/>
          </w:rPr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webHidden/>
            <w:sz w:val="22"/>
            <w:szCs w:val="22"/>
          </w:rPr>
          <w:t>117</w:t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47" w:history="1">
        <w:r w:rsidRPr="006D1E41">
          <w:rPr>
            <w:rStyle w:val="Hipervnculo"/>
          </w:rPr>
          <w:t>5.1.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Introducción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117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48" w:history="1">
        <w:r w:rsidRPr="006D1E41">
          <w:rPr>
            <w:rStyle w:val="Hipervnculo"/>
          </w:rPr>
          <w:t>5.2.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Modelización de la volatilidad condicional mediante el modelo ARMA-EGARCH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123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49" w:history="1">
        <w:r w:rsidRPr="006D1E41">
          <w:rPr>
            <w:rStyle w:val="Hipervnculo"/>
          </w:rPr>
          <w:t>5.3.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Modelización de la volatilidad condicional mediante Red Neuronal Backpropagation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152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50" w:history="1">
        <w:r w:rsidRPr="006D1E41">
          <w:rPr>
            <w:rStyle w:val="Hipervnculo"/>
          </w:rPr>
          <w:t>5.4.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Conclusiones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164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1"/>
        <w:rPr>
          <w:rFonts w:asciiTheme="minorHAnsi" w:eastAsiaTheme="minorEastAsia" w:hAnsiTheme="minorHAnsi" w:cstheme="minorBidi"/>
          <w:sz w:val="22"/>
          <w:szCs w:val="22"/>
        </w:rPr>
      </w:pPr>
      <w:hyperlink w:anchor="_Toc365659451" w:history="1">
        <w:r w:rsidRPr="00425B4C">
          <w:rPr>
            <w:rStyle w:val="Hipervnculo"/>
            <w:b/>
          </w:rPr>
          <w:t>VI.Estudio comparativo entre el modelo EGARCH y la Red Neuronal Backpropagation: Aplicación sobre la volatilidad condicional en el índice IBEX 35 con datos de alta frecuencia</w:t>
        </w:r>
        <w:r>
          <w:rPr>
            <w:webHidden/>
          </w:rPr>
          <w:tab/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webHidden/>
            <w:sz w:val="22"/>
            <w:szCs w:val="22"/>
          </w:rPr>
          <w:instrText xml:space="preserve"> PAGEREF _Toc365659451 \h </w:instrText>
        </w:r>
        <w:r w:rsidRPr="00F640E0">
          <w:rPr>
            <w:rFonts w:ascii="Arial" w:hAnsi="Arial" w:cs="Arial"/>
            <w:webHidden/>
            <w:sz w:val="22"/>
            <w:szCs w:val="22"/>
          </w:rPr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webHidden/>
            <w:sz w:val="22"/>
            <w:szCs w:val="22"/>
          </w:rPr>
          <w:t>115</w:t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1"/>
        <w:rPr>
          <w:rFonts w:asciiTheme="minorHAnsi" w:eastAsiaTheme="minorEastAsia" w:hAnsiTheme="minorHAnsi" w:cstheme="minorBidi"/>
          <w:sz w:val="22"/>
          <w:szCs w:val="22"/>
        </w:rPr>
      </w:pPr>
      <w:hyperlink w:anchor="_Toc365659452" w:history="1">
        <w:r w:rsidRPr="006D1E41">
          <w:rPr>
            <w:rStyle w:val="Hipervnculo"/>
          </w:rPr>
          <w:t>6.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D1E41">
          <w:rPr>
            <w:rStyle w:val="Hipervnculo"/>
          </w:rPr>
          <w:t>Estudio comparativo entre el modelo EGARCH y la Red Neuronal Backpropagation: Aplicación sobre la volatilidad condicional en el índice IBEX 35 con datos de alta frecuencia</w:t>
        </w:r>
        <w:r>
          <w:rPr>
            <w:rStyle w:val="Hipervnculo"/>
          </w:rPr>
          <w:t>..</w:t>
        </w:r>
        <w:r>
          <w:rPr>
            <w:webHidden/>
          </w:rPr>
          <w:tab/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webHidden/>
            <w:sz w:val="22"/>
            <w:szCs w:val="22"/>
          </w:rPr>
          <w:instrText xml:space="preserve"> PAGEREF _Toc365659452 \h </w:instrText>
        </w:r>
        <w:r w:rsidRPr="00F640E0">
          <w:rPr>
            <w:rFonts w:ascii="Arial" w:hAnsi="Arial" w:cs="Arial"/>
            <w:webHidden/>
            <w:sz w:val="22"/>
            <w:szCs w:val="22"/>
          </w:rPr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webHidden/>
            <w:sz w:val="22"/>
            <w:szCs w:val="22"/>
          </w:rPr>
          <w:t>175</w:t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53" w:history="1">
        <w:r w:rsidRPr="006D1E41">
          <w:rPr>
            <w:rStyle w:val="Hipervnculo"/>
          </w:rPr>
          <w:t>6.1.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Introducción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175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54" w:history="1">
        <w:r w:rsidRPr="006D1E41">
          <w:rPr>
            <w:rStyle w:val="Hipervnculo"/>
          </w:rPr>
          <w:t>6.2.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Modelización de la volatilidad condicional mediante el modelo ARMA-EGARCH con datos de alta frecuencia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176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55" w:history="1">
        <w:r w:rsidRPr="006D1E41">
          <w:rPr>
            <w:rStyle w:val="Hipervnculo"/>
          </w:rPr>
          <w:t>6.3.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Modelización de la volatilidad condicional mediante Red Neuronal BackPropagation con datos de alta frecuencia</w:t>
        </w:r>
        <w:r>
          <w:rPr>
            <w:rStyle w:val="Hipervnculo"/>
          </w:rPr>
          <w:t>…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192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56" w:history="1">
        <w:r w:rsidRPr="006D1E41">
          <w:rPr>
            <w:rStyle w:val="Hipervnculo"/>
          </w:rPr>
          <w:t>6.4.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Conclusiones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199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1"/>
        <w:rPr>
          <w:rFonts w:asciiTheme="minorHAnsi" w:eastAsiaTheme="minorEastAsia" w:hAnsiTheme="minorHAnsi" w:cstheme="minorBidi"/>
          <w:sz w:val="22"/>
          <w:szCs w:val="22"/>
        </w:rPr>
      </w:pPr>
      <w:hyperlink w:anchor="_Toc365659457" w:history="1">
        <w:r w:rsidRPr="00425B4C">
          <w:rPr>
            <w:rStyle w:val="Hipervnculo"/>
            <w:b/>
          </w:rPr>
          <w:t>VII. Conclusiones Finales y futuros trabajos</w:t>
        </w:r>
        <w:r>
          <w:rPr>
            <w:webHidden/>
          </w:rPr>
          <w:tab/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webHidden/>
            <w:sz w:val="22"/>
            <w:szCs w:val="22"/>
          </w:rPr>
          <w:instrText xml:space="preserve"> PAGEREF _Toc365659457 \h </w:instrText>
        </w:r>
        <w:r w:rsidRPr="00F640E0">
          <w:rPr>
            <w:rFonts w:ascii="Arial" w:hAnsi="Arial" w:cs="Arial"/>
            <w:webHidden/>
            <w:sz w:val="22"/>
            <w:szCs w:val="22"/>
          </w:rPr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webHidden/>
            <w:sz w:val="22"/>
            <w:szCs w:val="22"/>
          </w:rPr>
          <w:t>205</w:t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1"/>
        <w:rPr>
          <w:rFonts w:asciiTheme="minorHAnsi" w:eastAsiaTheme="minorEastAsia" w:hAnsiTheme="minorHAnsi" w:cstheme="minorBidi"/>
          <w:sz w:val="22"/>
          <w:szCs w:val="22"/>
        </w:rPr>
      </w:pPr>
      <w:hyperlink w:anchor="_Toc365659458" w:history="1">
        <w:r w:rsidRPr="00D60906">
          <w:rPr>
            <w:rStyle w:val="Hipervnculo"/>
            <w:rFonts w:ascii="Arial" w:hAnsi="Arial" w:cs="Arial"/>
            <w:sz w:val="22"/>
            <w:szCs w:val="22"/>
          </w:rPr>
          <w:t>7.</w:t>
        </w:r>
        <w:r w:rsidRPr="00D60906">
          <w:rPr>
            <w:rFonts w:ascii="Arial" w:eastAsiaTheme="minorEastAsia" w:hAnsi="Arial" w:cs="Arial"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sz w:val="22"/>
            <w:szCs w:val="22"/>
          </w:rPr>
          <w:t>Conclusiones finales y futuros trabajos</w:t>
        </w:r>
        <w:r>
          <w:rPr>
            <w:webHidden/>
          </w:rPr>
          <w:tab/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webHidden/>
            <w:sz w:val="22"/>
            <w:szCs w:val="22"/>
          </w:rPr>
          <w:instrText xml:space="preserve"> PAGEREF _Toc365659458 \h </w:instrText>
        </w:r>
        <w:r w:rsidRPr="00F640E0">
          <w:rPr>
            <w:rFonts w:ascii="Arial" w:hAnsi="Arial" w:cs="Arial"/>
            <w:webHidden/>
            <w:sz w:val="22"/>
            <w:szCs w:val="22"/>
          </w:rPr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webHidden/>
            <w:sz w:val="22"/>
            <w:szCs w:val="22"/>
          </w:rPr>
          <w:t>207</w:t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1"/>
        <w:rPr>
          <w:rFonts w:asciiTheme="minorHAnsi" w:eastAsiaTheme="minorEastAsia" w:hAnsiTheme="minorHAnsi" w:cstheme="minorBidi"/>
          <w:sz w:val="22"/>
          <w:szCs w:val="22"/>
        </w:rPr>
      </w:pPr>
      <w:hyperlink w:anchor="_Toc365659459" w:history="1">
        <w:r w:rsidRPr="00425B4C">
          <w:rPr>
            <w:rStyle w:val="Hipervnculo"/>
            <w:b/>
          </w:rPr>
          <w:t>VIII. Bibliografía</w:t>
        </w:r>
        <w:r>
          <w:rPr>
            <w:webHidden/>
          </w:rPr>
          <w:tab/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webHidden/>
            <w:sz w:val="22"/>
            <w:szCs w:val="22"/>
          </w:rPr>
          <w:instrText xml:space="preserve"> PAGEREF _Toc365659459 \h </w:instrText>
        </w:r>
        <w:r w:rsidRPr="00F640E0">
          <w:rPr>
            <w:rFonts w:ascii="Arial" w:hAnsi="Arial" w:cs="Arial"/>
            <w:webHidden/>
            <w:sz w:val="22"/>
            <w:szCs w:val="22"/>
          </w:rPr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webHidden/>
            <w:sz w:val="22"/>
            <w:szCs w:val="22"/>
          </w:rPr>
          <w:t>215</w:t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1"/>
        <w:rPr>
          <w:rFonts w:asciiTheme="minorHAnsi" w:eastAsiaTheme="minorEastAsia" w:hAnsiTheme="minorHAnsi" w:cstheme="minorBidi"/>
          <w:sz w:val="22"/>
          <w:szCs w:val="22"/>
        </w:rPr>
      </w:pPr>
      <w:hyperlink w:anchor="_Toc365659460" w:history="1">
        <w:r w:rsidRPr="00D60906">
          <w:rPr>
            <w:rStyle w:val="Hipervnculo"/>
            <w:rFonts w:ascii="Arial" w:hAnsi="Arial" w:cs="Arial"/>
            <w:sz w:val="22"/>
            <w:szCs w:val="22"/>
          </w:rPr>
          <w:t>8.</w:t>
        </w:r>
        <w:r w:rsidRPr="00D60906">
          <w:rPr>
            <w:rFonts w:ascii="Arial" w:eastAsiaTheme="minorEastAsia" w:hAnsi="Arial" w:cs="Arial"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sz w:val="22"/>
            <w:szCs w:val="22"/>
          </w:rPr>
          <w:t>Bibliografía</w:t>
        </w:r>
        <w:r>
          <w:rPr>
            <w:webHidden/>
          </w:rPr>
          <w:tab/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webHidden/>
            <w:sz w:val="22"/>
            <w:szCs w:val="22"/>
          </w:rPr>
          <w:instrText xml:space="preserve"> PAGEREF _Toc365659460 \h </w:instrText>
        </w:r>
        <w:r w:rsidRPr="00F640E0">
          <w:rPr>
            <w:rFonts w:ascii="Arial" w:hAnsi="Arial" w:cs="Arial"/>
            <w:webHidden/>
            <w:sz w:val="22"/>
            <w:szCs w:val="22"/>
          </w:rPr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webHidden/>
            <w:sz w:val="22"/>
            <w:szCs w:val="22"/>
          </w:rPr>
          <w:t>217</w:t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1"/>
        <w:rPr>
          <w:rFonts w:asciiTheme="minorHAnsi" w:eastAsiaTheme="minorEastAsia" w:hAnsiTheme="minorHAnsi" w:cstheme="minorBidi"/>
          <w:sz w:val="22"/>
          <w:szCs w:val="22"/>
        </w:rPr>
      </w:pPr>
      <w:hyperlink w:anchor="_Toc365659461" w:history="1">
        <w:r w:rsidRPr="00425B4C">
          <w:rPr>
            <w:rStyle w:val="Hipervnculo"/>
            <w:b/>
          </w:rPr>
          <w:t>IX. Anexos</w:t>
        </w:r>
        <w:r>
          <w:rPr>
            <w:webHidden/>
          </w:rPr>
          <w:tab/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webHidden/>
            <w:sz w:val="22"/>
            <w:szCs w:val="22"/>
          </w:rPr>
          <w:instrText xml:space="preserve"> PAGEREF _Toc365659461 \h </w:instrText>
        </w:r>
        <w:r w:rsidRPr="00F640E0">
          <w:rPr>
            <w:rFonts w:ascii="Arial" w:hAnsi="Arial" w:cs="Arial"/>
            <w:webHidden/>
            <w:sz w:val="22"/>
            <w:szCs w:val="22"/>
          </w:rPr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webHidden/>
            <w:sz w:val="22"/>
            <w:szCs w:val="22"/>
          </w:rPr>
          <w:t>215</w:t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1"/>
        <w:rPr>
          <w:rFonts w:asciiTheme="minorHAnsi" w:eastAsiaTheme="minorEastAsia" w:hAnsiTheme="minorHAnsi" w:cstheme="minorBidi"/>
          <w:sz w:val="22"/>
          <w:szCs w:val="22"/>
        </w:rPr>
      </w:pPr>
      <w:hyperlink w:anchor="_Toc365659462" w:history="1">
        <w:r w:rsidRPr="00D60906">
          <w:rPr>
            <w:rStyle w:val="Hipervnculo"/>
            <w:rFonts w:ascii="Arial" w:hAnsi="Arial" w:cs="Arial"/>
            <w:sz w:val="22"/>
            <w:szCs w:val="22"/>
          </w:rPr>
          <w:t>9.</w:t>
        </w:r>
        <w:r w:rsidRPr="00D60906">
          <w:rPr>
            <w:rFonts w:ascii="Arial" w:eastAsiaTheme="minorEastAsia" w:hAnsi="Arial" w:cs="Arial"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sz w:val="22"/>
            <w:szCs w:val="22"/>
          </w:rPr>
          <w:t>Anexos</w:t>
        </w:r>
        <w:r>
          <w:rPr>
            <w:webHidden/>
          </w:rPr>
          <w:tab/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begin"/>
        </w:r>
        <w:r w:rsidRPr="00F640E0">
          <w:rPr>
            <w:rFonts w:ascii="Arial" w:hAnsi="Arial" w:cs="Arial"/>
            <w:webHidden/>
            <w:sz w:val="22"/>
            <w:szCs w:val="22"/>
          </w:rPr>
          <w:instrText xml:space="preserve"> PAGEREF _Toc365659462 \h </w:instrText>
        </w:r>
        <w:r w:rsidRPr="00F640E0">
          <w:rPr>
            <w:rFonts w:ascii="Arial" w:hAnsi="Arial" w:cs="Arial"/>
            <w:webHidden/>
            <w:sz w:val="22"/>
            <w:szCs w:val="22"/>
          </w:rPr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webHidden/>
            <w:sz w:val="22"/>
            <w:szCs w:val="22"/>
          </w:rPr>
          <w:t>233</w:t>
        </w:r>
        <w:r w:rsidRPr="00F640E0">
          <w:rPr>
            <w:rFonts w:ascii="Arial" w:hAnsi="Arial" w:cs="Arial"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63" w:history="1">
        <w:r w:rsidRPr="006D1E41">
          <w:rPr>
            <w:rStyle w:val="Hipervnculo"/>
          </w:rPr>
          <w:t>9.1.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Anexo 1 Dax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233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64" w:history="1">
        <w:r w:rsidRPr="006D1E41">
          <w:rPr>
            <w:rStyle w:val="Hipervnculo"/>
          </w:rPr>
          <w:t>9.2.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Anexo 2 Nasdaq 100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270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65" w:history="1">
        <w:r w:rsidRPr="006D1E41">
          <w:rPr>
            <w:rStyle w:val="Hipervnculo"/>
          </w:rPr>
          <w:t>9.3.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Anexo 3 NIKKEI 225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275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66" w:history="1">
        <w:r w:rsidRPr="006D1E41">
          <w:rPr>
            <w:rStyle w:val="Hipervnculo"/>
          </w:rPr>
          <w:t>9.4.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Anexo 4 S&amp;P 500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280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2"/>
        <w:jc w:val="both"/>
        <w:rPr>
          <w:rFonts w:asciiTheme="minorHAnsi" w:eastAsiaTheme="minorEastAsia" w:hAnsiTheme="minorHAnsi" w:cstheme="minorBidi"/>
        </w:rPr>
      </w:pPr>
      <w:hyperlink w:anchor="_Toc365659467" w:history="1">
        <w:r w:rsidRPr="006D1E41">
          <w:rPr>
            <w:rStyle w:val="Hipervnculo"/>
          </w:rPr>
          <w:t>9.5.</w:t>
        </w:r>
        <w:r>
          <w:rPr>
            <w:rFonts w:asciiTheme="minorHAnsi" w:eastAsiaTheme="minorEastAsia" w:hAnsiTheme="minorHAnsi" w:cstheme="minorBidi"/>
          </w:rPr>
          <w:tab/>
        </w:r>
        <w:r w:rsidRPr="006D1E41">
          <w:rPr>
            <w:rStyle w:val="Hipervnculo"/>
          </w:rPr>
          <w:t>Anexo 5 Ibex 35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_Toc365659467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285</w:t>
        </w:r>
        <w:r>
          <w:rPr>
            <w:webHidden/>
          </w:rPr>
          <w:fldChar w:fldCharType="end"/>
        </w:r>
      </w:hyperlink>
    </w:p>
    <w:p w:rsidR="00EF36FE" w:rsidRDefault="00EF36FE" w:rsidP="00EF36FE">
      <w:pPr>
        <w:pStyle w:val="TDC3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5659468" w:history="1">
        <w:r w:rsidRPr="006D1E41">
          <w:rPr>
            <w:rStyle w:val="Hipervnculo"/>
            <w:rFonts w:ascii="Arial" w:hAnsi="Arial" w:cs="Arial"/>
            <w:noProof/>
          </w:rPr>
          <w:t>9.5.1.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6D1E41">
          <w:rPr>
            <w:rStyle w:val="Hipervnculo"/>
            <w:rFonts w:ascii="Arial" w:hAnsi="Arial" w:cs="Arial"/>
            <w:noProof/>
          </w:rPr>
          <w:t>A.5.1 Ibex 35 datos baja frecuencia</w:t>
        </w:r>
        <w:r>
          <w:rPr>
            <w:noProof/>
            <w:webHidden/>
          </w:rPr>
          <w:tab/>
        </w:r>
        <w:r w:rsidRPr="00F74FA7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F74FA7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_Toc365659468 \h </w:instrText>
        </w:r>
        <w:r w:rsidRPr="00F74FA7">
          <w:rPr>
            <w:rFonts w:ascii="Arial" w:hAnsi="Arial" w:cs="Arial"/>
            <w:noProof/>
            <w:webHidden/>
            <w:sz w:val="22"/>
            <w:szCs w:val="22"/>
          </w:rPr>
        </w:r>
        <w:r w:rsidRPr="00F74FA7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285</w:t>
        </w:r>
        <w:r w:rsidRPr="00F74FA7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DC3"/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5659469" w:history="1">
        <w:r w:rsidRPr="006D1E41">
          <w:rPr>
            <w:rStyle w:val="Hipervnculo"/>
            <w:rFonts w:ascii="Arial" w:hAnsi="Arial" w:cs="Arial"/>
            <w:noProof/>
          </w:rPr>
          <w:t>9.5.2.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6D1E41">
          <w:rPr>
            <w:rStyle w:val="Hipervnculo"/>
            <w:rFonts w:ascii="Arial" w:hAnsi="Arial" w:cs="Arial"/>
            <w:noProof/>
          </w:rPr>
          <w:t>A.5.2 Ibex 35 datos alta frecuencia</w:t>
        </w:r>
        <w:r>
          <w:rPr>
            <w:noProof/>
            <w:webHidden/>
          </w:rPr>
          <w:tab/>
        </w:r>
        <w:r w:rsidRPr="00F74FA7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F74FA7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_Toc365659469 \h </w:instrText>
        </w:r>
        <w:r w:rsidRPr="00F74FA7">
          <w:rPr>
            <w:rFonts w:ascii="Arial" w:hAnsi="Arial" w:cs="Arial"/>
            <w:noProof/>
            <w:webHidden/>
            <w:sz w:val="22"/>
            <w:szCs w:val="22"/>
          </w:rPr>
        </w:r>
        <w:r w:rsidRPr="00F74FA7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289</w:t>
        </w:r>
        <w:r w:rsidRPr="00F74FA7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78395A" w:rsidRDefault="00EF36FE" w:rsidP="00EF36FE">
      <w:pPr>
        <w:pStyle w:val="TDC1"/>
      </w:pPr>
      <w:r w:rsidRPr="004A12B2">
        <w:rPr>
          <w:rFonts w:ascii="Arial" w:hAnsi="Arial" w:cs="Arial"/>
          <w:sz w:val="22"/>
          <w:szCs w:val="22"/>
        </w:rPr>
        <w:fldChar w:fldCharType="end"/>
      </w:r>
    </w:p>
    <w:p w:rsidR="00EF36FE" w:rsidRPr="00612CBB" w:rsidRDefault="00EF36FE" w:rsidP="00EF36F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12CBB">
        <w:rPr>
          <w:rFonts w:ascii="Arial" w:hAnsi="Arial" w:cs="Arial"/>
          <w:b/>
          <w:bCs/>
          <w:sz w:val="24"/>
          <w:szCs w:val="24"/>
        </w:rPr>
        <w:t>Índice de Figuras</w:t>
      </w:r>
    </w:p>
    <w:p w:rsidR="00EF36FE" w:rsidRPr="00CC4822" w:rsidRDefault="00EF36FE" w:rsidP="00EF36FE">
      <w:pPr>
        <w:rPr>
          <w:rFonts w:ascii="Arial" w:hAnsi="Arial" w:cs="Arial"/>
          <w:sz w:val="22"/>
          <w:szCs w:val="22"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r w:rsidRPr="00EF45C1">
        <w:rPr>
          <w:rFonts w:ascii="Arial" w:hAnsi="Arial" w:cs="Arial"/>
          <w:sz w:val="22"/>
          <w:szCs w:val="22"/>
        </w:rPr>
        <w:fldChar w:fldCharType="begin"/>
      </w:r>
      <w:r w:rsidRPr="00EF45C1">
        <w:rPr>
          <w:rFonts w:ascii="Arial" w:hAnsi="Arial" w:cs="Arial"/>
          <w:sz w:val="22"/>
          <w:szCs w:val="22"/>
        </w:rPr>
        <w:instrText xml:space="preserve"> TOC \h \z \c "Figura" </w:instrText>
      </w:r>
      <w:r w:rsidRPr="00EF45C1">
        <w:rPr>
          <w:rFonts w:ascii="Arial" w:hAnsi="Arial" w:cs="Arial"/>
          <w:sz w:val="22"/>
          <w:szCs w:val="22"/>
        </w:rPr>
        <w:fldChar w:fldCharType="separate"/>
      </w:r>
      <w:hyperlink w:anchor="_Toc365659867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2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1: Volatilidad mensual anualizada S&amp;P 500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_Toc365659867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34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868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2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2: Volatilidad mensual anualizada NIKKEI 225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_Toc365659868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35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869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2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3: Volatilidad mensual anualizada IBEX-35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_Toc365659869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36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870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2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4: Volatilidad mensual anualizada DAX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_Toc365659870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37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871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4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1: Gráfico de una neurona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_Toc365659871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78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F74FA7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r:id="rId5" w:anchor="_Toc365659872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4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2: Esquema de la estructura de una red neuronal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_Toc365659872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81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r:id="rId6" w:anchor="_Toc365659873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4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3: Esquema del funcionamiento de transmisión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_Toc365659873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82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r:id="rId7" w:anchor="_Toc365659874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4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4: Función de activación escalón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_Toc365659874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87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r:id="rId8" w:anchor="_Toc365659875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4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5: Función de activación lineal o identidad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_Toc365659875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87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r:id="rId9" w:anchor="_Toc365659876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4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6: Función de activación lineal-mixta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_Toc365659876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88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r:id="rId10" w:anchor="_Toc365659877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4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7: Función de activación sigmoidal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_Toc365659877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89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r:id="rId11" w:anchor="_Toc365659878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4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8: Estructura de la Red Backpropagation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_Toc365659878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107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879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1: Histograma de la rentabilidad diaria del DAX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_Toc365659879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125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880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 xml:space="preserve">2: Test </w:t>
        </w:r>
        <w:r w:rsidRPr="00D60906">
          <w:rPr>
            <w:rStyle w:val="Hipervnculo"/>
            <w:rFonts w:ascii="Arial" w:hAnsi="Arial" w:cs="Arial"/>
            <w:i/>
            <w:noProof/>
            <w:sz w:val="22"/>
            <w:szCs w:val="22"/>
          </w:rPr>
          <w:t xml:space="preserve">h 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de Durbin para un retardo en el índice NASDAQ 100 semanal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_Toc365659880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135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881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3: Test Breusch-Godfrey para dos retardos en el índice DAX diario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_Toc365659881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137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882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4: Test ARCH  para cinco retardos aplicados al índice S&amp;P500 semanal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_Toc365659882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141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883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5: Histograma de los residuos del modelo ARMA(2,2)-GARCH(1,1) en el índice DAX mensual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_Toc365659883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144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884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6: Test ARCH del modelo ARMA(1,1)-GARCH(1,1) en el índice NIKKEI-225 mensual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_Toc365659884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145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885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7: Histograma de los residuos del modelo ARMA(2,2)-GARCH(0,1) en el índice DAX mensual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_Toc365659885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148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886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8: Tiempo de computación de la red neuronal en el índice S&amp;P 500 semanal en la ventana uno: 17 segundos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_Toc365659886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157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887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9: Inputs seleccionados para la red neuronal en el índice NASDAQ 100 diario para la ventana cinco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_Toc365659887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158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Pr="00D60906" w:rsidRDefault="00EF36FE" w:rsidP="00EF36FE">
      <w:pPr>
        <w:pStyle w:val="Tabladeilustraciones"/>
        <w:tabs>
          <w:tab w:val="right" w:leader="dot" w:pos="6227"/>
        </w:tabs>
        <w:jc w:val="both"/>
        <w:rPr>
          <w:rFonts w:ascii="Arial" w:eastAsiaTheme="minorEastAsia" w:hAnsi="Arial" w:cs="Arial"/>
          <w:noProof/>
          <w:sz w:val="22"/>
          <w:szCs w:val="22"/>
        </w:rPr>
      </w:pPr>
      <w:hyperlink w:anchor="_Toc365659888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 xml:space="preserve">1: Test </w:t>
        </w:r>
        <w:r w:rsidRPr="00D60906">
          <w:rPr>
            <w:rStyle w:val="Hipervnculo"/>
            <w:rFonts w:ascii="Arial" w:hAnsi="Arial" w:cs="Arial"/>
            <w:i/>
            <w:noProof/>
            <w:sz w:val="22"/>
            <w:szCs w:val="22"/>
          </w:rPr>
          <w:t xml:space="preserve">h 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de Durbin para un retardo en el índice IBEX 35 con datos de cinco minutos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_Toc365659888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180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889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2: Test Breusch-Godfrey para dos retardos en el índice IBEX 35 con datos de cinco minutos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_Toc365659889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183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890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3: Test ARCH  para cinco retardos en el índice IBEX-35 con datos de 60 minutos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_Toc365659890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186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891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4: Histograma de residuos del modelo ARMA(1,1)-GARCH(1,1) en el índice IBEX-35 15 minutos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_Toc365659891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187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892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5: Histograma de residuos del modelo ARMA(1,1)-EGARCH(2,2) en el índice IBEX-35 15minutos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_Toc365659892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189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893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6: Tiempo de computación de la red neuronal en el índice IBEX-35  15 minutos ventana cuatro: 1 min 11 seg.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_Toc365659893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195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5659894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Figura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7: Inputs seleccionados en la red neuronal en el índice IBEX-35 10minutos ventana uno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_Toc365659894 \h </w:instrTex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Fonts w:ascii="Arial" w:hAnsi="Arial" w:cs="Arial"/>
            <w:noProof/>
            <w:webHidden/>
            <w:sz w:val="22"/>
            <w:szCs w:val="22"/>
          </w:rPr>
          <w:t>196</w:t>
        </w:r>
        <w:r w:rsidRPr="00D60906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CC4822" w:rsidRDefault="00EF36FE" w:rsidP="00EF36F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F45C1">
        <w:rPr>
          <w:rFonts w:ascii="Arial" w:hAnsi="Arial" w:cs="Arial"/>
          <w:sz w:val="22"/>
          <w:szCs w:val="22"/>
        </w:rPr>
        <w:fldChar w:fldCharType="end"/>
      </w:r>
    </w:p>
    <w:p w:rsidR="00EF36FE" w:rsidRPr="00612CBB" w:rsidRDefault="00EF36FE" w:rsidP="00EF36F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12CBB">
        <w:rPr>
          <w:rFonts w:ascii="Arial" w:hAnsi="Arial" w:cs="Arial"/>
          <w:b/>
          <w:bCs/>
          <w:sz w:val="24"/>
          <w:szCs w:val="24"/>
        </w:rPr>
        <w:t>Índice de Tablas</w:t>
      </w:r>
    </w:p>
    <w:p w:rsidR="00EF36FE" w:rsidRPr="00CC4822" w:rsidRDefault="00EF36FE" w:rsidP="00EF36FE">
      <w:pPr>
        <w:rPr>
          <w:rFonts w:ascii="Arial" w:hAnsi="Arial" w:cs="Arial"/>
          <w:sz w:val="22"/>
          <w:szCs w:val="22"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r w:rsidRPr="009F7262">
        <w:rPr>
          <w:rFonts w:ascii="Arial" w:hAnsi="Arial" w:cs="Arial"/>
          <w:sz w:val="22"/>
          <w:szCs w:val="22"/>
        </w:rPr>
        <w:fldChar w:fldCharType="begin"/>
      </w:r>
      <w:r w:rsidRPr="009F7262">
        <w:rPr>
          <w:rFonts w:ascii="Arial" w:hAnsi="Arial" w:cs="Arial"/>
          <w:sz w:val="22"/>
          <w:szCs w:val="22"/>
        </w:rPr>
        <w:instrText xml:space="preserve"> TOC \h \z \c "Tabla" </w:instrText>
      </w:r>
      <w:r w:rsidRPr="009F7262">
        <w:rPr>
          <w:rFonts w:ascii="Arial" w:hAnsi="Arial" w:cs="Arial"/>
          <w:sz w:val="22"/>
          <w:szCs w:val="22"/>
        </w:rPr>
        <w:fldChar w:fldCharType="separate"/>
      </w:r>
      <w:hyperlink w:anchor="_Toc365659982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1: Ventanas muestrales y de predicción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_Toc365659982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122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983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2: Estadísticos descriptivos de la serie de rendimientos para todos los índices considerados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_Toc365659983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126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984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3: Test de raíces unitarias Dickey-Fuller Aumentado (DFA) sin constante y tendencia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_Toc365659984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128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985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4: Test de raíces unitarias Dickey-Fuller Aumentado (DFA) con constante y sin tendencia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_Toc365659985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129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986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5: Test de raíces unitarias Dickey-Fuller Aumentado (DFA) con constante y tendencia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_Toc365659986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130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987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6: Test de raíces unitarias Phillips-Perron (PP) sin constante y tendencia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_Toc365659987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131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988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7: Test de raíces unitarias Phillips-Perron (PP) con constante y sin tendencia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_Toc365659988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132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989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8: Test de raíces unitarias Phillips-Perron (PP) con constante y con tendencia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_Toc365659989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134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990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9: Modelos ARMA seleccionados siguiendo el criterio Schwartz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_Toc365659990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138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991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10: Modelos GARCH seleccionados siguiendo el criterio Schwartz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_Toc365659991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142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992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11: Modelos EGARCH seleccionados siguiendo el criterio Schwartz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_Toc365659992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147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993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12: Errores de predicción del modelo EGARCH con datos diarios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_Toc365659993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149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994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13: Errores de predicción del modelo EGARCH con datos semanales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_Toc365659994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150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995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14: Errores de predicción del modelo EGARCH con datos  mensuales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_Toc365659995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151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996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15: Errores de predicción de la  Red Neuronal con  datos diarios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_Toc365659996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161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997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16: Errores de predicción de la Red Neuronal con datos semanales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_Toc365659997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162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998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17: Errores de predicción de la Red Neuronal con datos mensuales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_Toc365659998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163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59999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18: Fallos de la Red Neuronal versus modelo EGARCH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_Toc365659999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165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60000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19: Porcentaje de reducción del error de predicción Red Neuronal versus EGARCH con datos diarios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_Toc365660000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169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60001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20: Porcentaje de reducción del error de predicción Red Neuronal versus EGARCH con datos semanales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_Toc365660001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170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60002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5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21: Porcentaje de reducción del error de predicción Red Neuronal versus EGARCH con datos mensuales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_Toc365660002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171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Pr="00D60906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60003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1: Ventanas muestrales y de predicción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_Toc365660003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176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60004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2: Test de raíces unitarias Dickey-Fuller Aumentado (DFA) sin constante y tendencia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_Toc365660004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177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60005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3: Test de raíces unitarias Dickey-Fuller Aumentado (DFA) con constante y sin tendencia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_Toc365660005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177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60006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4: Test de raíces unitarias Dickey-Fuller Aumentado (DFA) con constante y tendencia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_Toc365660006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178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60007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5: Test de raíces unitarias Phillips-Perron (PP) sin constante y tendencia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_Toc365660007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178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60008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6: Test de raíces unitarias Phillips-Perron (PP) con constante y sin tendencia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_Toc365660008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179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60009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7: Test de raíces unitarias Phillips-Perron (PP) con constante y con tendencia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_Toc365660009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179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60010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8: Modelos ARMA seleccionados siguiendo el criterio Schwartz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_Toc365660010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184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60011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9: Modelos GARCH seleccionados siguiendo el criterio de Schwartz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_Toc365660011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186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60012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10: Modelos EGARCH seleccionados siguiendo criterio Schwartz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_Toc365660012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188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60013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11: Errores de predicción del modelo EGARCH con datos de alta frecuencia en el índice IBEX-35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_Toc365660013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191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60014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11: Errores de predicción del modelo EGARCH con datos de alta frecuencia IBEX-35  (cont.)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_Toc365660014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192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60015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12: Errores de predicción en la Red Neuronal con datos de alta frecuencia en el índice IBEX-35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_Toc365660015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198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60016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12: Errores de predicción en la Red Neuronal con datos de alta frecuencia en el índice IBEX-35 (cont.)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_Toc365660016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199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Pr="00D60906" w:rsidRDefault="00EF36FE" w:rsidP="00EF36FE">
      <w:pPr>
        <w:rPr>
          <w:rFonts w:eastAsiaTheme="minorEastAsia"/>
          <w:noProof/>
        </w:rPr>
      </w:pPr>
    </w:p>
    <w:p w:rsidR="00EF36FE" w:rsidRPr="00D60906" w:rsidRDefault="00EF36FE" w:rsidP="00EF36FE">
      <w:pPr>
        <w:pStyle w:val="Tabladeilustraciones"/>
        <w:tabs>
          <w:tab w:val="right" w:leader="dot" w:pos="6227"/>
        </w:tabs>
        <w:jc w:val="both"/>
        <w:rPr>
          <w:rStyle w:val="Hipervnculo"/>
          <w:rFonts w:ascii="Arial" w:hAnsi="Arial" w:cs="Arial"/>
          <w:noProof/>
          <w:sz w:val="22"/>
          <w:szCs w:val="22"/>
        </w:rPr>
      </w:pPr>
      <w:hyperlink w:anchor="_Toc365660017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13: Fallos de la Red Neuronal versus modelo EGARCH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_Toc365660017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201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EF36FE" w:rsidRDefault="00EF36FE" w:rsidP="00EF36FE">
      <w:pPr>
        <w:pStyle w:val="Tabladeilustraciones"/>
        <w:tabs>
          <w:tab w:val="right" w:leader="dot" w:pos="6227"/>
        </w:tabs>
        <w:jc w:val="both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65660018" w:history="1"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t>Tabla 6</w:t>
        </w:r>
        <w:r w:rsidRPr="00D60906">
          <w:rPr>
            <w:rStyle w:val="Hipervnculo"/>
            <w:rFonts w:ascii="Arial" w:hAnsi="Arial" w:cs="Arial"/>
            <w:noProof/>
            <w:sz w:val="22"/>
            <w:szCs w:val="22"/>
          </w:rPr>
          <w:noBreakHyphen/>
          <w:t>14: Porcentaje de reducción del error de predicción Red Neuronal versus EGARCH con datos alta frecuencia en el índice IBEX-35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ab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instrText xml:space="preserve"> PAGEREF _Toc365660018 \h </w:instrTex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t>204</w:t>
        </w:r>
        <w:r w:rsidRPr="00D60906">
          <w:rPr>
            <w:rStyle w:val="Hipervnculo"/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:rsidR="001E3681" w:rsidRPr="00EF36FE" w:rsidRDefault="00EF36FE" w:rsidP="00EF36FE">
      <w:pPr>
        <w:rPr>
          <w:rStyle w:val="Hipervnculo"/>
          <w:color w:val="auto"/>
          <w:u w:val="none"/>
        </w:rPr>
      </w:pPr>
      <w:r w:rsidRPr="009F7262">
        <w:rPr>
          <w:rFonts w:ascii="Arial" w:hAnsi="Arial" w:cs="Arial"/>
          <w:sz w:val="22"/>
          <w:szCs w:val="22"/>
        </w:rPr>
        <w:fldChar w:fldCharType="end"/>
      </w:r>
    </w:p>
    <w:sectPr w:rsidR="001E3681" w:rsidRPr="00EF36FE" w:rsidSect="006F678A">
      <w:pgSz w:w="9639" w:h="1360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623A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9016681"/>
    <w:multiLevelType w:val="hybridMultilevel"/>
    <w:tmpl w:val="E670F334"/>
    <w:lvl w:ilvl="0" w:tplc="D7B60A64">
      <w:start w:val="7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6750B3E"/>
    <w:multiLevelType w:val="hybridMultilevel"/>
    <w:tmpl w:val="654A3D3A"/>
    <w:lvl w:ilvl="0" w:tplc="9A18FC9A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AB79C3"/>
    <w:multiLevelType w:val="hybridMultilevel"/>
    <w:tmpl w:val="4D5A0A8E"/>
    <w:lvl w:ilvl="0" w:tplc="0C0A000F">
      <w:start w:val="1"/>
      <w:numFmt w:val="decimal"/>
      <w:lvlText w:val="%1."/>
      <w:lvlJc w:val="left"/>
      <w:pPr>
        <w:ind w:left="1080" w:hanging="720"/>
      </w:pPr>
      <w:rPr>
        <w:rFonts w:hint="default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7354D1"/>
    <w:multiLevelType w:val="hybridMultilevel"/>
    <w:tmpl w:val="E05602EA"/>
    <w:lvl w:ilvl="0" w:tplc="1C123CC6">
      <w:start w:val="1"/>
      <w:numFmt w:val="upperLetter"/>
      <w:lvlText w:val="%1)"/>
      <w:lvlJc w:val="left"/>
      <w:pPr>
        <w:ind w:left="108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1555DF"/>
    <w:multiLevelType w:val="hybridMultilevel"/>
    <w:tmpl w:val="6A26CCAE"/>
    <w:lvl w:ilvl="0" w:tplc="C3DC8944">
      <w:start w:val="1"/>
      <w:numFmt w:val="upperLetter"/>
      <w:lvlText w:val="%1)"/>
      <w:lvlJc w:val="left"/>
      <w:pPr>
        <w:ind w:left="108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C84F7E"/>
    <w:multiLevelType w:val="hybridMultilevel"/>
    <w:tmpl w:val="A19416CA"/>
    <w:lvl w:ilvl="0" w:tplc="36888BD2">
      <w:start w:val="6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FC0ED9"/>
    <w:multiLevelType w:val="hybridMultilevel"/>
    <w:tmpl w:val="13644EB8"/>
    <w:lvl w:ilvl="0" w:tplc="338CE4CC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FB7A01"/>
    <w:multiLevelType w:val="hybridMultilevel"/>
    <w:tmpl w:val="23AE26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1F57A4"/>
    <w:multiLevelType w:val="hybridMultilevel"/>
    <w:tmpl w:val="23AE26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756E8D"/>
    <w:multiLevelType w:val="multilevel"/>
    <w:tmpl w:val="5D2CBE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pStyle w:val="Ttulo2"/>
      <w:lvlText w:val="%1.%2."/>
      <w:lvlJc w:val="left"/>
      <w:pPr>
        <w:tabs>
          <w:tab w:val="num" w:pos="716"/>
        </w:tabs>
        <w:ind w:left="716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4"/>
  </w:num>
  <w:num w:numId="5">
    <w:abstractNumId w:val="5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"/>
  </w:num>
  <w:num w:numId="10">
    <w:abstractNumId w:val="6"/>
  </w:num>
  <w:num w:numId="11">
    <w:abstractNumId w:val="2"/>
  </w:num>
  <w:num w:numId="12">
    <w:abstractNumId w:val="1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hyphenationZone w:val="425"/>
  <w:characterSpacingControl w:val="doNotCompress"/>
  <w:compat/>
  <w:rsids>
    <w:rsidRoot w:val="006F678A"/>
    <w:rsid w:val="00133238"/>
    <w:rsid w:val="001E3681"/>
    <w:rsid w:val="00425B4C"/>
    <w:rsid w:val="006F678A"/>
    <w:rsid w:val="00A06BE4"/>
    <w:rsid w:val="00B9701C"/>
    <w:rsid w:val="00EF36FE"/>
    <w:rsid w:val="00F92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7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EF36F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F36FE"/>
    <w:pPr>
      <w:keepNext/>
      <w:numPr>
        <w:ilvl w:val="1"/>
        <w:numId w:val="1"/>
      </w:numPr>
      <w:tabs>
        <w:tab w:val="clear" w:pos="716"/>
        <w:tab w:val="num" w:pos="792"/>
      </w:tabs>
      <w:spacing w:before="240" w:after="60"/>
      <w:ind w:left="792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EF36FE"/>
    <w:pPr>
      <w:keepNext/>
      <w:spacing w:before="240" w:after="60" w:line="360" w:lineRule="auto"/>
      <w:outlineLvl w:val="2"/>
    </w:pPr>
    <w:rPr>
      <w:rFonts w:ascii="Optimum" w:hAnsi="Optimum"/>
      <w:b/>
      <w:sz w:val="24"/>
    </w:rPr>
  </w:style>
  <w:style w:type="paragraph" w:styleId="Ttulo4">
    <w:name w:val="heading 4"/>
    <w:basedOn w:val="Normal"/>
    <w:next w:val="Normal"/>
    <w:link w:val="Ttulo4Car"/>
    <w:qFormat/>
    <w:rsid w:val="00EF36FE"/>
    <w:pPr>
      <w:keepNext/>
      <w:spacing w:before="240" w:after="60" w:line="360" w:lineRule="auto"/>
      <w:outlineLvl w:val="3"/>
    </w:pPr>
    <w:rPr>
      <w:rFonts w:ascii="Optimum" w:hAnsi="Optimum"/>
      <w:b/>
      <w:sz w:val="24"/>
    </w:rPr>
  </w:style>
  <w:style w:type="paragraph" w:styleId="Ttulo5">
    <w:name w:val="heading 5"/>
    <w:basedOn w:val="Normal"/>
    <w:next w:val="Normal"/>
    <w:link w:val="Ttulo5Car"/>
    <w:qFormat/>
    <w:rsid w:val="00EF36FE"/>
    <w:pPr>
      <w:spacing w:before="240" w:after="60" w:line="360" w:lineRule="auto"/>
      <w:outlineLvl w:val="4"/>
    </w:pPr>
    <w:rPr>
      <w:rFonts w:ascii="Optimum" w:hAnsi="Optimum"/>
      <w:sz w:val="22"/>
    </w:rPr>
  </w:style>
  <w:style w:type="paragraph" w:styleId="Ttulo6">
    <w:name w:val="heading 6"/>
    <w:basedOn w:val="Normal"/>
    <w:next w:val="Normal"/>
    <w:link w:val="Ttulo6Car"/>
    <w:qFormat/>
    <w:rsid w:val="00EF36FE"/>
    <w:pPr>
      <w:spacing w:before="240" w:after="60" w:line="360" w:lineRule="auto"/>
      <w:outlineLvl w:val="5"/>
    </w:pPr>
    <w:rPr>
      <w:i/>
      <w:sz w:val="22"/>
    </w:rPr>
  </w:style>
  <w:style w:type="paragraph" w:styleId="Ttulo7">
    <w:name w:val="heading 7"/>
    <w:basedOn w:val="Normal"/>
    <w:next w:val="Normal"/>
    <w:link w:val="Ttulo7Car"/>
    <w:qFormat/>
    <w:rsid w:val="00EF36FE"/>
    <w:pPr>
      <w:spacing w:before="240" w:after="60" w:line="360" w:lineRule="auto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ar"/>
    <w:qFormat/>
    <w:rsid w:val="00EF36FE"/>
    <w:pPr>
      <w:spacing w:before="240" w:after="60" w:line="360" w:lineRule="auto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link w:val="Ttulo9Car"/>
    <w:qFormat/>
    <w:rsid w:val="00EF36FE"/>
    <w:pPr>
      <w:spacing w:before="240" w:after="60" w:line="360" w:lineRule="auto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F36FE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rsid w:val="00EF36FE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EF36FE"/>
    <w:rPr>
      <w:rFonts w:ascii="Optimum" w:eastAsia="Times New Roman" w:hAnsi="Optimum" w:cs="Times New Roman"/>
      <w:b/>
      <w:sz w:val="24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EF36FE"/>
    <w:rPr>
      <w:rFonts w:ascii="Optimum" w:eastAsia="Times New Roman" w:hAnsi="Optimum" w:cs="Times New Roman"/>
      <w:b/>
      <w:sz w:val="24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EF36FE"/>
    <w:rPr>
      <w:rFonts w:ascii="Optimum" w:eastAsia="Times New Roman" w:hAnsi="Optimum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EF36FE"/>
    <w:rPr>
      <w:rFonts w:ascii="Times New Roman" w:eastAsia="Times New Roman" w:hAnsi="Times New Roman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EF36FE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EF36FE"/>
    <w:rPr>
      <w:rFonts w:ascii="Arial" w:eastAsia="Times New Roman" w:hAnsi="Arial" w:cs="Times New Roman"/>
      <w:i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EF36FE"/>
    <w:rPr>
      <w:rFonts w:ascii="Arial" w:eastAsia="Times New Roman" w:hAnsi="Arial" w:cs="Times New Roman"/>
      <w:b/>
      <w:i/>
      <w:sz w:val="18"/>
      <w:szCs w:val="20"/>
      <w:lang w:eastAsia="es-ES"/>
    </w:rPr>
  </w:style>
  <w:style w:type="paragraph" w:styleId="Textoindependiente">
    <w:name w:val="Body Text"/>
    <w:basedOn w:val="Normal"/>
    <w:link w:val="TextoindependienteCar"/>
    <w:semiHidden/>
    <w:rsid w:val="00EF36FE"/>
    <w:pPr>
      <w:autoSpaceDE w:val="0"/>
      <w:autoSpaceDN w:val="0"/>
      <w:adjustRightInd w:val="0"/>
      <w:jc w:val="both"/>
    </w:pPr>
    <w:rPr>
      <w:rFonts w:ascii="Verdana" w:hAnsi="Verdana" w:cs="Arial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F36FE"/>
    <w:rPr>
      <w:rFonts w:ascii="Verdana" w:eastAsia="Times New Roman" w:hAnsi="Verdana" w:cs="Arial"/>
      <w:lang w:eastAsia="es-ES"/>
    </w:rPr>
  </w:style>
  <w:style w:type="paragraph" w:styleId="Sinespaciado">
    <w:name w:val="No Spacing"/>
    <w:link w:val="SinespaciadoCar"/>
    <w:uiPriority w:val="1"/>
    <w:qFormat/>
    <w:rsid w:val="00EF36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lockquote">
    <w:name w:val="Blockquote"/>
    <w:basedOn w:val="Normal"/>
    <w:rsid w:val="00EF36FE"/>
    <w:pPr>
      <w:spacing w:before="100" w:after="100"/>
      <w:ind w:left="360" w:right="360"/>
    </w:pPr>
    <w:rPr>
      <w:snapToGrid w:val="0"/>
      <w:sz w:val="24"/>
    </w:rPr>
  </w:style>
  <w:style w:type="character" w:styleId="Hipervnculo">
    <w:name w:val="Hyperlink"/>
    <w:basedOn w:val="Fuentedeprrafopredeter"/>
    <w:uiPriority w:val="99"/>
    <w:rsid w:val="00EF36FE"/>
    <w:rPr>
      <w:color w:val="0000FF"/>
      <w:u w:val="single"/>
    </w:rPr>
  </w:style>
  <w:style w:type="character" w:styleId="Textoennegrita">
    <w:name w:val="Strong"/>
    <w:basedOn w:val="Fuentedeprrafopredeter"/>
    <w:qFormat/>
    <w:rsid w:val="00EF36FE"/>
    <w:rPr>
      <w:b/>
    </w:rPr>
  </w:style>
  <w:style w:type="paragraph" w:styleId="Sangradetextonormal">
    <w:name w:val="Body Text Indent"/>
    <w:basedOn w:val="Normal"/>
    <w:link w:val="SangradetextonormalCar"/>
    <w:semiHidden/>
    <w:rsid w:val="00EF36FE"/>
    <w:pPr>
      <w:ind w:firstLine="360"/>
      <w:jc w:val="both"/>
    </w:pPr>
    <w:rPr>
      <w:sz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EF36FE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semiHidden/>
    <w:rsid w:val="00EF36FE"/>
    <w:pPr>
      <w:ind w:left="284" w:hanging="284"/>
      <w:jc w:val="both"/>
    </w:pPr>
    <w:rPr>
      <w:sz w:val="24"/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EF36FE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semiHidden/>
    <w:rsid w:val="00EF36FE"/>
    <w:pPr>
      <w:spacing w:line="360" w:lineRule="auto"/>
      <w:ind w:firstLine="709"/>
      <w:jc w:val="both"/>
    </w:pPr>
    <w:rPr>
      <w:rFonts w:ascii="Verdana" w:hAnsi="Verdana"/>
      <w:i/>
      <w:iCs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EF36FE"/>
    <w:rPr>
      <w:rFonts w:ascii="Verdana" w:eastAsia="Times New Roman" w:hAnsi="Verdana" w:cs="Times New Roman"/>
      <w:i/>
      <w:i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semiHidden/>
    <w:rsid w:val="00EF36FE"/>
    <w:pPr>
      <w:autoSpaceDE w:val="0"/>
      <w:autoSpaceDN w:val="0"/>
      <w:jc w:val="both"/>
    </w:pPr>
    <w:rPr>
      <w:rFonts w:ascii="Arial" w:hAnsi="Arial" w:cs="Arial"/>
    </w:rPr>
  </w:style>
  <w:style w:type="character" w:customStyle="1" w:styleId="TextonotapieCar">
    <w:name w:val="Texto nota pie Car"/>
    <w:basedOn w:val="Fuentedeprrafopredeter"/>
    <w:link w:val="Textonotapie"/>
    <w:semiHidden/>
    <w:rsid w:val="00EF36FE"/>
    <w:rPr>
      <w:rFonts w:ascii="Arial" w:eastAsia="Times New Roman" w:hAnsi="Arial" w:cs="Arial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EF36FE"/>
    <w:rPr>
      <w:vertAlign w:val="superscript"/>
    </w:rPr>
  </w:style>
  <w:style w:type="paragraph" w:styleId="Epgrafe">
    <w:name w:val="caption"/>
    <w:basedOn w:val="Normal"/>
    <w:next w:val="Normal"/>
    <w:qFormat/>
    <w:rsid w:val="00EF36FE"/>
    <w:pPr>
      <w:spacing w:before="120" w:after="120"/>
    </w:pPr>
    <w:rPr>
      <w:b/>
      <w:bCs/>
    </w:rPr>
  </w:style>
  <w:style w:type="paragraph" w:styleId="Textoindependiente2">
    <w:name w:val="Body Text 2"/>
    <w:basedOn w:val="Normal"/>
    <w:link w:val="Textoindependiente2Car"/>
    <w:semiHidden/>
    <w:rsid w:val="00EF36FE"/>
    <w:pPr>
      <w:spacing w:line="360" w:lineRule="auto"/>
      <w:jc w:val="both"/>
    </w:pPr>
    <w:rPr>
      <w:rFonts w:ascii="Verdana" w:hAnsi="Verdana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EF36FE"/>
    <w:rPr>
      <w:rFonts w:ascii="Verdana" w:eastAsia="Times New Roman" w:hAnsi="Verdana" w:cs="Times New Roman"/>
      <w:sz w:val="20"/>
      <w:szCs w:val="20"/>
      <w:lang w:eastAsia="es-ES"/>
    </w:rPr>
  </w:style>
  <w:style w:type="paragraph" w:styleId="NormalWeb">
    <w:name w:val="Normal (Web)"/>
    <w:basedOn w:val="Normal"/>
    <w:semiHidden/>
    <w:rsid w:val="00EF36FE"/>
    <w:pPr>
      <w:spacing w:before="100" w:beforeAutospacing="1" w:after="100" w:afterAutospacing="1"/>
    </w:pPr>
    <w:rPr>
      <w:sz w:val="24"/>
      <w:szCs w:val="24"/>
    </w:rPr>
  </w:style>
  <w:style w:type="paragraph" w:styleId="Textodebloque">
    <w:name w:val="Block Text"/>
    <w:basedOn w:val="Normal"/>
    <w:semiHidden/>
    <w:rsid w:val="00EF36FE"/>
    <w:pPr>
      <w:tabs>
        <w:tab w:val="left" w:pos="7513"/>
      </w:tabs>
      <w:ind w:left="705" w:right="991"/>
    </w:pPr>
    <w:rPr>
      <w:rFonts w:ascii="Verdana" w:hAnsi="Verdana"/>
      <w:lang w:val="es-ES_tradnl"/>
    </w:rPr>
  </w:style>
  <w:style w:type="paragraph" w:styleId="TDC1">
    <w:name w:val="toc 1"/>
    <w:basedOn w:val="Normal"/>
    <w:next w:val="Normal"/>
    <w:autoRedefine/>
    <w:uiPriority w:val="39"/>
    <w:rsid w:val="00EF36FE"/>
    <w:pPr>
      <w:tabs>
        <w:tab w:val="left" w:pos="600"/>
        <w:tab w:val="right" w:leader="dot" w:pos="6227"/>
      </w:tabs>
      <w:spacing w:line="360" w:lineRule="auto"/>
      <w:jc w:val="both"/>
    </w:pPr>
    <w:rPr>
      <w:rFonts w:ascii="Verdana" w:hAnsi="Verdana"/>
      <w:noProof/>
    </w:rPr>
  </w:style>
  <w:style w:type="paragraph" w:styleId="TDC2">
    <w:name w:val="toc 2"/>
    <w:basedOn w:val="Normal"/>
    <w:next w:val="Normal"/>
    <w:autoRedefine/>
    <w:uiPriority w:val="39"/>
    <w:rsid w:val="00EF36FE"/>
    <w:pPr>
      <w:tabs>
        <w:tab w:val="left" w:pos="800"/>
        <w:tab w:val="right" w:leader="dot" w:pos="6227"/>
      </w:tabs>
      <w:spacing w:line="360" w:lineRule="auto"/>
      <w:ind w:left="200"/>
    </w:pPr>
    <w:rPr>
      <w:rFonts w:ascii="Arial" w:hAnsi="Arial" w:cs="Arial"/>
      <w:noProof/>
      <w:sz w:val="22"/>
      <w:szCs w:val="22"/>
    </w:rPr>
  </w:style>
  <w:style w:type="paragraph" w:styleId="TDC3">
    <w:name w:val="toc 3"/>
    <w:basedOn w:val="Normal"/>
    <w:next w:val="Normal"/>
    <w:autoRedefine/>
    <w:uiPriority w:val="39"/>
    <w:rsid w:val="00EF36FE"/>
    <w:pPr>
      <w:tabs>
        <w:tab w:val="left" w:pos="1200"/>
        <w:tab w:val="right" w:leader="dot" w:pos="6227"/>
      </w:tabs>
      <w:spacing w:line="360" w:lineRule="auto"/>
      <w:ind w:left="403"/>
    </w:pPr>
  </w:style>
  <w:style w:type="paragraph" w:styleId="TDC4">
    <w:name w:val="toc 4"/>
    <w:basedOn w:val="Normal"/>
    <w:next w:val="Normal"/>
    <w:autoRedefine/>
    <w:semiHidden/>
    <w:rsid w:val="00EF36FE"/>
    <w:pPr>
      <w:ind w:left="600"/>
    </w:pPr>
  </w:style>
  <w:style w:type="paragraph" w:styleId="TDC5">
    <w:name w:val="toc 5"/>
    <w:basedOn w:val="Normal"/>
    <w:next w:val="Normal"/>
    <w:autoRedefine/>
    <w:semiHidden/>
    <w:rsid w:val="00EF36FE"/>
    <w:pPr>
      <w:ind w:left="800"/>
    </w:pPr>
  </w:style>
  <w:style w:type="paragraph" w:styleId="TDC6">
    <w:name w:val="toc 6"/>
    <w:basedOn w:val="Normal"/>
    <w:next w:val="Normal"/>
    <w:autoRedefine/>
    <w:semiHidden/>
    <w:rsid w:val="00EF36FE"/>
    <w:pPr>
      <w:ind w:left="1000"/>
    </w:pPr>
  </w:style>
  <w:style w:type="paragraph" w:styleId="TDC7">
    <w:name w:val="toc 7"/>
    <w:basedOn w:val="Normal"/>
    <w:next w:val="Normal"/>
    <w:autoRedefine/>
    <w:semiHidden/>
    <w:rsid w:val="00EF36FE"/>
    <w:pPr>
      <w:ind w:left="1200"/>
    </w:pPr>
  </w:style>
  <w:style w:type="paragraph" w:styleId="TDC8">
    <w:name w:val="toc 8"/>
    <w:basedOn w:val="Normal"/>
    <w:next w:val="Normal"/>
    <w:autoRedefine/>
    <w:semiHidden/>
    <w:rsid w:val="00EF36FE"/>
    <w:pPr>
      <w:ind w:left="1400"/>
    </w:pPr>
  </w:style>
  <w:style w:type="paragraph" w:styleId="TDC9">
    <w:name w:val="toc 9"/>
    <w:basedOn w:val="Normal"/>
    <w:next w:val="Normal"/>
    <w:autoRedefine/>
    <w:semiHidden/>
    <w:rsid w:val="00EF36FE"/>
    <w:pPr>
      <w:ind w:left="1600"/>
    </w:pPr>
  </w:style>
  <w:style w:type="paragraph" w:styleId="Piedepgina">
    <w:name w:val="footer"/>
    <w:basedOn w:val="Normal"/>
    <w:link w:val="PiedepginaCar"/>
    <w:uiPriority w:val="99"/>
    <w:rsid w:val="00EF36F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36FE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Nmerodepgina">
    <w:name w:val="page number"/>
    <w:basedOn w:val="Fuentedeprrafopredeter"/>
    <w:semiHidden/>
    <w:rsid w:val="00EF36FE"/>
  </w:style>
  <w:style w:type="paragraph" w:styleId="Tabladeilustraciones">
    <w:name w:val="table of figures"/>
    <w:basedOn w:val="Normal"/>
    <w:next w:val="Normal"/>
    <w:uiPriority w:val="99"/>
    <w:rsid w:val="00EF36FE"/>
    <w:pPr>
      <w:ind w:left="400" w:hanging="400"/>
    </w:pPr>
  </w:style>
  <w:style w:type="paragraph" w:styleId="Ttulo">
    <w:name w:val="Title"/>
    <w:basedOn w:val="Normal"/>
    <w:next w:val="Normal"/>
    <w:link w:val="TtuloCar"/>
    <w:uiPriority w:val="10"/>
    <w:qFormat/>
    <w:rsid w:val="00EF36F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F36FE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EF36FE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EF36FE"/>
    <w:rPr>
      <w:rFonts w:ascii="Cambria" w:eastAsia="Times New Roman" w:hAnsi="Cambria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F36F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36FE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EF36FE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EF36FE"/>
    <w:rPr>
      <w:color w:val="800080" w:themeColor="followedHyperlink"/>
      <w:u w:val="singl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F36F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EF36F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F36FE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EF36FE"/>
    <w:rPr>
      <w:color w:val="808080"/>
    </w:rPr>
  </w:style>
  <w:style w:type="table" w:styleId="Tablaconcuadrcula">
    <w:name w:val="Table Grid"/>
    <w:basedOn w:val="Tablanormal"/>
    <w:uiPriority w:val="59"/>
    <w:rsid w:val="00EF36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F36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table" w:customStyle="1" w:styleId="Cuadrculamedia31">
    <w:name w:val="Cuadrícula media 31"/>
    <w:basedOn w:val="Tablanormal"/>
    <w:uiPriority w:val="69"/>
    <w:rsid w:val="00EF36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Sombreadoclaro1">
    <w:name w:val="Sombreado claro1"/>
    <w:basedOn w:val="Tablanormal"/>
    <w:uiPriority w:val="60"/>
    <w:rsid w:val="00EF36FE"/>
    <w:pPr>
      <w:spacing w:after="0" w:line="240" w:lineRule="auto"/>
    </w:pPr>
    <w:rPr>
      <w:rFonts w:ascii="Times New Roman" w:eastAsia="Times New Roman" w:hAnsi="Times New Roman" w:cs="Times New Roman"/>
      <w:color w:val="000000" w:themeColor="text1" w:themeShade="BF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M&#170;Carmen\Dropbox\TESIS\TESIS%20DOCTORAL%20formato%20upv%2024x17%20con%20anexos%20corregido%20hojas%20y%20numeracion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Users\M&#170;Carmen\Dropbox\TESIS\TESIS%20DOCTORAL%20formato%20upv%2024x17%20con%20anexos%20corregido%20hojas%20y%20numeracio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M&#170;Carmen\Dropbox\TESIS\TESIS%20DOCTORAL%20formato%20upv%2024x17%20con%20anexos%20corregido%20hojas%20y%20numeracion.docx" TargetMode="External"/><Relationship Id="rId11" Type="http://schemas.openxmlformats.org/officeDocument/2006/relationships/hyperlink" Target="file:///C:\Users\M&#170;Carmen\Dropbox\TESIS\TESIS%20DOCTORAL%20formato%20upv%2024x17%20con%20anexos%20corregido%20hojas%20y%20numeracion.docx" TargetMode="External"/><Relationship Id="rId5" Type="http://schemas.openxmlformats.org/officeDocument/2006/relationships/hyperlink" Target="file:///C:\Users\M&#170;Carmen\Dropbox\TESIS\TESIS%20DOCTORAL%20formato%20upv%2024x17%20con%20anexos%20corregido%20hojas%20y%20numeracion.docx" TargetMode="External"/><Relationship Id="rId10" Type="http://schemas.openxmlformats.org/officeDocument/2006/relationships/hyperlink" Target="file:///C:\Users\M&#170;Carmen\Dropbox\TESIS\TESIS%20DOCTORAL%20formato%20upv%2024x17%20con%20anexos%20corregido%20hojas%20y%20numeracion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M&#170;Carmen\Dropbox\TESIS\TESIS%20DOCTORAL%20formato%20upv%2024x17%20con%20anexos%20corregido%20hojas%20y%20numeracion.doc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2572</Words>
  <Characters>14147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MªCarmen</dc:creator>
  <cp:lastModifiedBy>MªCarmen</cp:lastModifiedBy>
  <cp:revision>2</cp:revision>
  <dcterms:created xsi:type="dcterms:W3CDTF">2013-12-09T13:57:00Z</dcterms:created>
  <dcterms:modified xsi:type="dcterms:W3CDTF">2013-12-09T13:57:00Z</dcterms:modified>
</cp:coreProperties>
</file>