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777" w:rsidRPr="002F00BC" w:rsidRDefault="00935777" w:rsidP="00935777">
      <w:pPr>
        <w:pStyle w:val="Ttulo1"/>
        <w:rPr>
          <w:b w:val="0"/>
          <w:i/>
        </w:rPr>
      </w:pPr>
      <w:r w:rsidRPr="001F2ECB">
        <w:t>Resumen</w:t>
      </w:r>
    </w:p>
    <w:p w:rsidR="00935777" w:rsidRDefault="00935777" w:rsidP="00935777">
      <w:pPr>
        <w:spacing w:before="120" w:after="120" w:line="360" w:lineRule="auto"/>
        <w:jc w:val="both"/>
        <w:rPr>
          <w:color w:val="000000" w:themeColor="text1"/>
          <w:sz w:val="24"/>
          <w:szCs w:val="24"/>
          <w:lang w:val="es-ES_tradnl"/>
        </w:rPr>
      </w:pPr>
      <w:r>
        <w:rPr>
          <w:color w:val="000000" w:themeColor="text1"/>
          <w:sz w:val="24"/>
          <w:szCs w:val="24"/>
          <w:lang w:val="es-ES_tradnl"/>
        </w:rPr>
        <w:t xml:space="preserve">La crisis actual ha afectado a todos los sectores incluyendo a las grandes empresas de la mayoría de países, por ello la importancia que tiene analizar el impacto que ha tenido ésta en cualquiera de las variables esenciales que afectan a las empresas, incluyendo la carga financiera y por ende, el </w:t>
      </w:r>
      <w:r>
        <w:rPr>
          <w:i/>
          <w:color w:val="000000" w:themeColor="text1"/>
          <w:sz w:val="24"/>
          <w:szCs w:val="24"/>
          <w:lang w:val="es-ES_tradnl"/>
        </w:rPr>
        <w:t xml:space="preserve">spread </w:t>
      </w:r>
      <w:r>
        <w:rPr>
          <w:color w:val="000000" w:themeColor="text1"/>
          <w:sz w:val="24"/>
          <w:szCs w:val="24"/>
          <w:lang w:val="es-ES_tradnl"/>
        </w:rPr>
        <w:t>o diferencial entre el tipo de interés fijado y el que se otorga a los activos financieros de mayor solvencia y garantía, normalmente, los bonos norteamericanos (</w:t>
      </w:r>
      <w:proofErr w:type="spellStart"/>
      <w:r w:rsidRPr="00704180">
        <w:rPr>
          <w:i/>
          <w:color w:val="000000" w:themeColor="text1"/>
          <w:sz w:val="24"/>
          <w:szCs w:val="24"/>
          <w:lang w:val="es-ES_tradnl"/>
        </w:rPr>
        <w:t>Treasury</w:t>
      </w:r>
      <w:proofErr w:type="spellEnd"/>
      <w:r w:rsidRPr="00704180">
        <w:rPr>
          <w:i/>
          <w:color w:val="000000" w:themeColor="text1"/>
          <w:sz w:val="24"/>
          <w:szCs w:val="24"/>
          <w:lang w:val="es-ES_tradnl"/>
        </w:rPr>
        <w:t xml:space="preserve"> </w:t>
      </w:r>
      <w:proofErr w:type="spellStart"/>
      <w:r w:rsidRPr="00704180">
        <w:rPr>
          <w:i/>
          <w:color w:val="000000" w:themeColor="text1"/>
          <w:sz w:val="24"/>
          <w:szCs w:val="24"/>
          <w:lang w:val="es-ES_tradnl"/>
        </w:rPr>
        <w:t>Bills</w:t>
      </w:r>
      <w:proofErr w:type="spellEnd"/>
      <w:r>
        <w:rPr>
          <w:color w:val="000000" w:themeColor="text1"/>
          <w:sz w:val="24"/>
          <w:szCs w:val="24"/>
          <w:lang w:val="es-ES_tradnl"/>
        </w:rPr>
        <w:t>) y los alemanes (</w:t>
      </w:r>
      <w:r w:rsidRPr="00704180">
        <w:rPr>
          <w:i/>
          <w:color w:val="000000" w:themeColor="text1"/>
          <w:sz w:val="24"/>
          <w:szCs w:val="24"/>
          <w:lang w:val="es-ES_tradnl"/>
        </w:rPr>
        <w:t xml:space="preserve">German </w:t>
      </w:r>
      <w:proofErr w:type="spellStart"/>
      <w:r w:rsidRPr="00704180">
        <w:rPr>
          <w:i/>
          <w:color w:val="000000" w:themeColor="text1"/>
          <w:sz w:val="24"/>
          <w:szCs w:val="24"/>
          <w:lang w:val="es-ES_tradnl"/>
        </w:rPr>
        <w:t>benchmark</w:t>
      </w:r>
      <w:proofErr w:type="spellEnd"/>
      <w:r>
        <w:rPr>
          <w:color w:val="000000" w:themeColor="text1"/>
          <w:sz w:val="24"/>
          <w:szCs w:val="24"/>
          <w:lang w:val="es-ES_tradnl"/>
        </w:rPr>
        <w:t>).</w:t>
      </w:r>
    </w:p>
    <w:p w:rsidR="00935777" w:rsidRDefault="00935777" w:rsidP="00935777">
      <w:pPr>
        <w:spacing w:before="120" w:after="120" w:line="360" w:lineRule="auto"/>
        <w:jc w:val="both"/>
        <w:rPr>
          <w:color w:val="000000" w:themeColor="text1"/>
          <w:sz w:val="24"/>
          <w:szCs w:val="24"/>
          <w:lang w:val="es-ES_tradnl"/>
        </w:rPr>
      </w:pPr>
      <w:r>
        <w:rPr>
          <w:color w:val="000000" w:themeColor="text1"/>
          <w:sz w:val="24"/>
          <w:szCs w:val="24"/>
          <w:lang w:val="es-ES_tradnl"/>
        </w:rPr>
        <w:t>La presente Tesis pretende analizar, mediante el Análisis Envolvente de Datos, la eficiencia en las emisiones de eurobonos a tipo fijo en el periodo 2004-2012, valorando el impacto de la crisis financiera en dicho mercado.</w:t>
      </w:r>
    </w:p>
    <w:p w:rsidR="00935777" w:rsidRDefault="00935777" w:rsidP="00935777">
      <w:pPr>
        <w:spacing w:before="120" w:after="120" w:line="360" w:lineRule="auto"/>
        <w:jc w:val="both"/>
        <w:rPr>
          <w:color w:val="000000" w:themeColor="text1"/>
          <w:sz w:val="24"/>
          <w:szCs w:val="24"/>
          <w:lang w:val="es-ES_tradnl"/>
        </w:rPr>
      </w:pPr>
      <w:r>
        <w:rPr>
          <w:color w:val="000000" w:themeColor="text1"/>
          <w:sz w:val="24"/>
          <w:szCs w:val="24"/>
          <w:lang w:val="es-ES_tradnl"/>
        </w:rPr>
        <w:t>La Tesis se centra en la línea de investigación sobre el concepto de eficiencia en precios y su capacidad de absorber toda la información en los precios de forma instantánea. (Fama, 1970; Duarte y Mascareñas, 2013).</w:t>
      </w:r>
    </w:p>
    <w:p w:rsidR="00935777" w:rsidRPr="003C528E" w:rsidRDefault="00935777" w:rsidP="00935777">
      <w:pPr>
        <w:pStyle w:val="Sangradetdecuerpo"/>
        <w:spacing w:before="120" w:line="360" w:lineRule="auto"/>
        <w:ind w:left="0"/>
        <w:jc w:val="both"/>
        <w:rPr>
          <w:color w:val="000000" w:themeColor="text1"/>
          <w:sz w:val="24"/>
          <w:szCs w:val="24"/>
          <w:lang w:val="es-ES_tradnl"/>
        </w:rPr>
      </w:pPr>
      <w:r>
        <w:rPr>
          <w:color w:val="000000" w:themeColor="text1"/>
          <w:sz w:val="24"/>
          <w:szCs w:val="24"/>
          <w:lang w:val="es-ES_tradnl"/>
        </w:rPr>
        <w:t xml:space="preserve">La investigación gira en torno a la variable </w:t>
      </w:r>
      <w:r>
        <w:rPr>
          <w:i/>
          <w:color w:val="000000" w:themeColor="text1"/>
          <w:sz w:val="24"/>
          <w:szCs w:val="24"/>
          <w:lang w:val="es-ES_tradnl"/>
        </w:rPr>
        <w:t>spread</w:t>
      </w:r>
      <w:r>
        <w:rPr>
          <w:color w:val="000000" w:themeColor="text1"/>
          <w:sz w:val="24"/>
          <w:szCs w:val="24"/>
          <w:lang w:val="es-ES_tradnl"/>
        </w:rPr>
        <w:t xml:space="preserve"> como </w:t>
      </w:r>
      <w:r>
        <w:rPr>
          <w:i/>
          <w:color w:val="000000" w:themeColor="text1"/>
          <w:sz w:val="24"/>
          <w:szCs w:val="24"/>
          <w:lang w:val="es-ES_tradnl"/>
        </w:rPr>
        <w:t>output</w:t>
      </w:r>
      <w:r>
        <w:rPr>
          <w:color w:val="000000" w:themeColor="text1"/>
          <w:sz w:val="24"/>
          <w:szCs w:val="24"/>
          <w:lang w:val="es-ES_tradnl"/>
        </w:rPr>
        <w:t xml:space="preserve"> fundamental en los mercados financieros, un coste que los emisores de bonos deben intentar minimizar y que los equipos de colocación de las entidades de banca de inversión lo consideran un objetivo fundamental.</w:t>
      </w:r>
      <w:r w:rsidRPr="003C528E">
        <w:rPr>
          <w:rFonts w:asciiTheme="minorHAnsi" w:hAnsiTheme="minorHAnsi"/>
          <w:color w:val="000000" w:themeColor="text1"/>
          <w:sz w:val="24"/>
          <w:szCs w:val="24"/>
          <w:lang w:val="es-ES_tradnl"/>
        </w:rPr>
        <w:t xml:space="preserve"> </w:t>
      </w:r>
      <w:r w:rsidRPr="003C528E">
        <w:rPr>
          <w:color w:val="000000" w:themeColor="text1"/>
          <w:sz w:val="24"/>
          <w:szCs w:val="24"/>
          <w:lang w:val="es-ES_tradnl"/>
        </w:rPr>
        <w:t xml:space="preserve">Esta línea de investigación aplica la definición de eficiencia dentro de un contexto de una función </w:t>
      </w:r>
      <w:r>
        <w:rPr>
          <w:i/>
          <w:color w:val="000000" w:themeColor="text1"/>
          <w:sz w:val="24"/>
          <w:szCs w:val="24"/>
          <w:lang w:val="es-ES_tradnl"/>
        </w:rPr>
        <w:t>input</w:t>
      </w:r>
      <w:r w:rsidRPr="003C528E">
        <w:rPr>
          <w:i/>
          <w:color w:val="000000" w:themeColor="text1"/>
          <w:sz w:val="24"/>
          <w:szCs w:val="24"/>
          <w:lang w:val="es-ES_tradnl"/>
        </w:rPr>
        <w:t>-</w:t>
      </w:r>
      <w:r>
        <w:rPr>
          <w:i/>
          <w:color w:val="000000" w:themeColor="text1"/>
          <w:sz w:val="24"/>
          <w:szCs w:val="24"/>
          <w:lang w:val="es-ES_tradnl"/>
        </w:rPr>
        <w:t>output</w:t>
      </w:r>
      <w:r w:rsidRPr="003C528E">
        <w:rPr>
          <w:color w:val="000000" w:themeColor="text1"/>
          <w:sz w:val="24"/>
          <w:szCs w:val="24"/>
          <w:lang w:val="es-ES_tradnl"/>
        </w:rPr>
        <w:t xml:space="preserve">, estableciendo un nivel de </w:t>
      </w:r>
      <w:r>
        <w:rPr>
          <w:i/>
          <w:color w:val="000000" w:themeColor="text1"/>
          <w:sz w:val="24"/>
          <w:szCs w:val="24"/>
          <w:lang w:val="es-ES_tradnl"/>
        </w:rPr>
        <w:t>inputs</w:t>
      </w:r>
      <w:r w:rsidRPr="003C528E">
        <w:rPr>
          <w:color w:val="000000" w:themeColor="text1"/>
          <w:sz w:val="24"/>
          <w:szCs w:val="24"/>
          <w:lang w:val="es-ES_tradnl"/>
        </w:rPr>
        <w:t xml:space="preserve"> financieros y macroeconómicos y estudiando el </w:t>
      </w:r>
      <w:r>
        <w:rPr>
          <w:i/>
          <w:color w:val="000000" w:themeColor="text1"/>
          <w:sz w:val="24"/>
          <w:szCs w:val="24"/>
          <w:lang w:val="es-ES_tradnl"/>
        </w:rPr>
        <w:t>spread</w:t>
      </w:r>
      <w:r w:rsidRPr="003C528E">
        <w:rPr>
          <w:color w:val="000000" w:themeColor="text1"/>
          <w:sz w:val="24"/>
          <w:szCs w:val="24"/>
          <w:lang w:val="es-ES_tradnl"/>
        </w:rPr>
        <w:t xml:space="preserve"> obtenido en la emisión. A partir de dicho concepto de eficiencia, se </w:t>
      </w:r>
      <w:r>
        <w:rPr>
          <w:color w:val="000000" w:themeColor="text1"/>
          <w:sz w:val="24"/>
          <w:szCs w:val="24"/>
          <w:lang w:val="es-ES_tradnl"/>
        </w:rPr>
        <w:t>determinaran que emisiones son eficientes como resultado de una minimización del spread dadas unas variables financieras concretas.</w:t>
      </w:r>
    </w:p>
    <w:p w:rsidR="00935777" w:rsidRPr="00C74C81" w:rsidRDefault="00935777" w:rsidP="00935777">
      <w:pPr>
        <w:pStyle w:val="Sangradetdecuerpo"/>
        <w:spacing w:before="120" w:line="360" w:lineRule="auto"/>
        <w:ind w:left="0"/>
        <w:jc w:val="both"/>
        <w:rPr>
          <w:rFonts w:asciiTheme="minorHAnsi" w:hAnsiTheme="minorHAnsi"/>
          <w:color w:val="000000" w:themeColor="text1"/>
          <w:sz w:val="24"/>
          <w:szCs w:val="24"/>
          <w:lang w:val="es-ES_tradnl"/>
        </w:rPr>
      </w:pPr>
      <w:r>
        <w:rPr>
          <w:color w:val="000000" w:themeColor="text1"/>
          <w:sz w:val="24"/>
          <w:szCs w:val="24"/>
          <w:lang w:val="es-ES_tradnl"/>
        </w:rPr>
        <w:t>A su vez, se ha estudiado, partiendo de trabajos que analizan los problemas de predicción financiera (</w:t>
      </w:r>
      <w:proofErr w:type="spellStart"/>
      <w:r>
        <w:rPr>
          <w:color w:val="000000" w:themeColor="text1"/>
          <w:sz w:val="24"/>
          <w:szCs w:val="24"/>
          <w:lang w:val="es-ES_tradnl"/>
        </w:rPr>
        <w:t>Altman</w:t>
      </w:r>
      <w:proofErr w:type="spellEnd"/>
      <w:r>
        <w:rPr>
          <w:color w:val="000000" w:themeColor="text1"/>
          <w:sz w:val="24"/>
          <w:szCs w:val="24"/>
          <w:lang w:val="es-ES_tradnl"/>
        </w:rPr>
        <w:t xml:space="preserve"> et at., 1994;</w:t>
      </w:r>
      <w:r w:rsidRPr="0044006A">
        <w:rPr>
          <w:sz w:val="24"/>
          <w:szCs w:val="24"/>
        </w:rPr>
        <w:t xml:space="preserve"> Back et al.</w:t>
      </w:r>
      <w:r>
        <w:rPr>
          <w:sz w:val="24"/>
          <w:szCs w:val="24"/>
        </w:rPr>
        <w:t>, 1996</w:t>
      </w:r>
      <w:r w:rsidRPr="0044006A">
        <w:rPr>
          <w:sz w:val="24"/>
          <w:szCs w:val="24"/>
        </w:rPr>
        <w:t>; Pu</w:t>
      </w:r>
      <w:r>
        <w:rPr>
          <w:sz w:val="24"/>
          <w:szCs w:val="24"/>
        </w:rPr>
        <w:t xml:space="preserve">ertas y Martí, 2013), la búsqueda de un modelo que obtenga </w:t>
      </w:r>
      <w:r w:rsidRPr="0044006A">
        <w:rPr>
          <w:sz w:val="24"/>
          <w:szCs w:val="24"/>
        </w:rPr>
        <w:t>una regla común que facilite la clasificación de nuevas observaciones a medida que se vayan presentando, utilizando una serie de ratios y características financieras de un conjunto de observaciones. En concreto, los trabajos de Bonilla et al</w:t>
      </w:r>
      <w:r>
        <w:rPr>
          <w:sz w:val="24"/>
          <w:szCs w:val="24"/>
        </w:rPr>
        <w:t>.</w:t>
      </w:r>
      <w:r w:rsidRPr="0044006A">
        <w:rPr>
          <w:sz w:val="24"/>
          <w:szCs w:val="24"/>
        </w:rPr>
        <w:t xml:space="preserve"> (2005 y 2006) utilizan modelos no paramétricos en la estimación del </w:t>
      </w:r>
      <w:r>
        <w:rPr>
          <w:i/>
          <w:sz w:val="24"/>
          <w:szCs w:val="24"/>
        </w:rPr>
        <w:t>spread</w:t>
      </w:r>
      <w:r w:rsidRPr="0044006A">
        <w:rPr>
          <w:sz w:val="24"/>
          <w:szCs w:val="24"/>
        </w:rPr>
        <w:t xml:space="preserve"> de una muestra de eurobonos a tipo fijo negociados durante el periodo 1995-1999, concluyendo la alta precisión de estas técnicas.</w:t>
      </w:r>
    </w:p>
    <w:p w:rsidR="00935777" w:rsidRDefault="00935777" w:rsidP="00935777">
      <w:pPr>
        <w:spacing w:before="120" w:after="120" w:line="360" w:lineRule="auto"/>
        <w:jc w:val="both"/>
        <w:rPr>
          <w:sz w:val="24"/>
          <w:szCs w:val="24"/>
        </w:rPr>
      </w:pPr>
      <w:r w:rsidRPr="0044006A">
        <w:rPr>
          <w:sz w:val="24"/>
          <w:szCs w:val="24"/>
        </w:rPr>
        <w:t>Siguiendo esta</w:t>
      </w:r>
      <w:r>
        <w:rPr>
          <w:sz w:val="24"/>
          <w:szCs w:val="24"/>
        </w:rPr>
        <w:t xml:space="preserve"> línea de investigación, en esta Tesis se pretende </w:t>
      </w:r>
      <w:r w:rsidRPr="0044006A">
        <w:rPr>
          <w:sz w:val="24"/>
          <w:szCs w:val="24"/>
        </w:rPr>
        <w:t xml:space="preserve">realizar un análisis comparativo de diversos modelos de predicción con objeto de determinar cuál de ellos </w:t>
      </w:r>
      <w:r w:rsidRPr="0044006A">
        <w:rPr>
          <w:sz w:val="24"/>
          <w:szCs w:val="24"/>
        </w:rPr>
        <w:lastRenderedPageBreak/>
        <w:t xml:space="preserve">es capaz de estimar el </w:t>
      </w:r>
      <w:r>
        <w:rPr>
          <w:i/>
          <w:sz w:val="24"/>
          <w:szCs w:val="24"/>
        </w:rPr>
        <w:t>spread</w:t>
      </w:r>
      <w:r w:rsidRPr="0044006A">
        <w:rPr>
          <w:sz w:val="24"/>
          <w:szCs w:val="24"/>
        </w:rPr>
        <w:t xml:space="preserve"> minimizando el error comet</w:t>
      </w:r>
      <w:r>
        <w:rPr>
          <w:sz w:val="24"/>
          <w:szCs w:val="24"/>
        </w:rPr>
        <w:t>ido. Las técnicas no paramétrica</w:t>
      </w:r>
      <w:r w:rsidRPr="0044006A">
        <w:rPr>
          <w:sz w:val="24"/>
          <w:szCs w:val="24"/>
        </w:rPr>
        <w:t>s utilizadas han sido la Regresión Localmente Ponderada (RLP) y los Arboles de Regresión (CART) y como paramétricos la estimación por Mínimos Cuadrados Ordinarios (MCO).</w:t>
      </w:r>
    </w:p>
    <w:p w:rsidR="00935777" w:rsidRDefault="00935777" w:rsidP="00935777">
      <w:pPr>
        <w:spacing w:before="120" w:after="120" w:line="360" w:lineRule="auto"/>
        <w:jc w:val="both"/>
        <w:rPr>
          <w:sz w:val="24"/>
          <w:szCs w:val="24"/>
        </w:rPr>
      </w:pPr>
      <w:r>
        <w:rPr>
          <w:sz w:val="24"/>
          <w:szCs w:val="24"/>
        </w:rPr>
        <w:t>Tras la elaboración de una base de datos compuesta por 12.490 eurobonos, los resultados muestran que en los años previos al inicio de la crisis el volumen de emisiones eficientes ha sido mayor, encontrándose las ineficientes muy próximas a la frontera. A partir de 2008 se aprecia un cambio drástico en las condiciones de este mercado, detectándose un alejamiento considerable y generalizado de la frontera de producción.</w:t>
      </w:r>
    </w:p>
    <w:p w:rsidR="00935777" w:rsidRDefault="00935777" w:rsidP="00935777">
      <w:pPr>
        <w:pStyle w:val="Sangradetdecuerpo"/>
        <w:spacing w:before="120" w:line="360" w:lineRule="auto"/>
        <w:ind w:left="0"/>
        <w:jc w:val="both"/>
        <w:rPr>
          <w:sz w:val="24"/>
          <w:szCs w:val="24"/>
        </w:rPr>
      </w:pPr>
      <w:r>
        <w:rPr>
          <w:sz w:val="24"/>
          <w:szCs w:val="24"/>
        </w:rPr>
        <w:t>El propio estudio del mercado de eurobonos ha permitido esclarecer el papel que han jugado las agencias de rating en la situación de riesgo que ha supuesto la crisis financiera y económica, teniendo</w:t>
      </w:r>
      <w:r w:rsidRPr="003C528E">
        <w:rPr>
          <w:color w:val="000000" w:themeColor="text1"/>
          <w:sz w:val="24"/>
          <w:szCs w:val="24"/>
          <w:lang w:val="es-ES_tradnl"/>
        </w:rPr>
        <w:t xml:space="preserve"> su colofón en la primera demanda realizada por el Departamento de Justicia de EEUU a </w:t>
      </w:r>
      <w:r w:rsidRPr="003C528E">
        <w:rPr>
          <w:i/>
          <w:color w:val="000000" w:themeColor="text1"/>
          <w:sz w:val="24"/>
          <w:szCs w:val="24"/>
          <w:lang w:val="es-ES_tradnl"/>
        </w:rPr>
        <w:t xml:space="preserve">Standard &amp; </w:t>
      </w:r>
      <w:proofErr w:type="spellStart"/>
      <w:r w:rsidRPr="003C528E">
        <w:rPr>
          <w:i/>
          <w:color w:val="000000" w:themeColor="text1"/>
          <w:sz w:val="24"/>
          <w:szCs w:val="24"/>
          <w:lang w:val="es-ES_tradnl"/>
        </w:rPr>
        <w:t>Poor’s</w:t>
      </w:r>
      <w:proofErr w:type="spellEnd"/>
      <w:r w:rsidRPr="003C528E">
        <w:rPr>
          <w:color w:val="000000" w:themeColor="text1"/>
          <w:sz w:val="24"/>
          <w:szCs w:val="24"/>
          <w:lang w:val="es-ES_tradnl"/>
        </w:rPr>
        <w:t>, curiosamente una demanda que cubre el periodo desde septiembre de 2004 hasta octubre de 2007, coincidiendo con la fuerte apreciación del mercado inmobiliario en EEUU mostrando un claro conflicto de interés en su actuación.</w:t>
      </w:r>
    </w:p>
    <w:p w:rsidR="00935777" w:rsidRDefault="00935777" w:rsidP="00935777">
      <w:pPr>
        <w:pStyle w:val="Sangradetdecuerpo"/>
        <w:spacing w:before="120" w:line="360" w:lineRule="auto"/>
        <w:ind w:left="0"/>
        <w:jc w:val="both"/>
        <w:rPr>
          <w:color w:val="000000" w:themeColor="text1"/>
          <w:sz w:val="24"/>
          <w:szCs w:val="24"/>
          <w:lang w:val="es-ES_tradnl"/>
        </w:rPr>
      </w:pPr>
      <w:r>
        <w:rPr>
          <w:sz w:val="24"/>
          <w:szCs w:val="24"/>
        </w:rPr>
        <w:t>A todo ello hay que añadir la posición cada vez más relevante de los países asiáticos, materializado en incrementos significativos de eurobonos emitidos en yuanes, manifestándose las entidades chinas, a la cabeza del relevo de europeas y estadounidenses.</w:t>
      </w:r>
      <w:r w:rsidRPr="003C528E">
        <w:rPr>
          <w:rFonts w:asciiTheme="minorHAnsi" w:hAnsiTheme="minorHAnsi"/>
          <w:color w:val="000000" w:themeColor="text1"/>
          <w:sz w:val="24"/>
          <w:szCs w:val="24"/>
          <w:lang w:val="es-ES_tradnl"/>
        </w:rPr>
        <w:t xml:space="preserve"> </w:t>
      </w:r>
      <w:r w:rsidRPr="003C528E">
        <w:rPr>
          <w:color w:val="000000" w:themeColor="text1"/>
          <w:sz w:val="24"/>
          <w:szCs w:val="24"/>
          <w:lang w:val="es-ES_tradnl"/>
        </w:rPr>
        <w:t>Excepcionalmente, se han encontrado en el sector financiero emisiones pertenecientes a China, que consiguen situarse en la misma frontera eficiente que los de países desarrollados, consiguiendo tasas de crecimiento por encima de la media aunque pequeños en nominales, siendo un sector que cuenta con el apoyo y control total del Estado chino.</w:t>
      </w:r>
    </w:p>
    <w:p w:rsidR="00935777" w:rsidRDefault="00935777" w:rsidP="00935777">
      <w:pPr>
        <w:spacing w:before="120" w:after="120" w:line="360" w:lineRule="auto"/>
        <w:jc w:val="both"/>
        <w:rPr>
          <w:sz w:val="24"/>
          <w:szCs w:val="24"/>
        </w:rPr>
      </w:pPr>
      <w:r>
        <w:rPr>
          <w:color w:val="000000" w:themeColor="text1"/>
          <w:sz w:val="24"/>
          <w:szCs w:val="24"/>
          <w:lang w:val="es-ES_tradnl"/>
        </w:rPr>
        <w:t xml:space="preserve">Los resultados obtenidos </w:t>
      </w:r>
      <w:r>
        <w:rPr>
          <w:sz w:val="24"/>
          <w:szCs w:val="24"/>
        </w:rPr>
        <w:t xml:space="preserve">muestran una </w:t>
      </w:r>
      <w:r w:rsidRPr="00297B23">
        <w:rPr>
          <w:sz w:val="24"/>
          <w:szCs w:val="24"/>
        </w:rPr>
        <w:t>ruptura en el mercado de eurobonos a raíz de la crisis financiera</w:t>
      </w:r>
      <w:r>
        <w:rPr>
          <w:sz w:val="24"/>
          <w:szCs w:val="24"/>
        </w:rPr>
        <w:t xml:space="preserve"> con un descenso generalizado en el nivel de eficiencia en todos los sectores, con una financiación más irregular y subidas en las primas de riesgo, excepto en el de los servicios financieros, con menores emisiones realizadas pero más eficientes. </w:t>
      </w:r>
    </w:p>
    <w:p w:rsidR="00935777" w:rsidRPr="002F00BC" w:rsidRDefault="00935777" w:rsidP="00935777">
      <w:pPr>
        <w:pStyle w:val="NormalWeb"/>
        <w:spacing w:line="360" w:lineRule="auto"/>
        <w:jc w:val="both"/>
        <w:rPr>
          <w:rFonts w:ascii="Times New Roman" w:hAnsi="Times New Roman"/>
          <w:sz w:val="24"/>
          <w:szCs w:val="24"/>
        </w:rPr>
      </w:pPr>
      <w:r>
        <w:rPr>
          <w:rFonts w:ascii="Times New Roman" w:hAnsi="Times New Roman"/>
          <w:sz w:val="24"/>
          <w:szCs w:val="24"/>
        </w:rPr>
        <w:t xml:space="preserve">En prácticamente ninguno de los sectores analizados para ambos períodos se cumple la teoría económica que sustenta los mercados de capitales en términos de relación de eficiencia, </w:t>
      </w:r>
      <w:r>
        <w:rPr>
          <w:rFonts w:ascii="Times New Roman" w:hAnsi="Times New Roman"/>
          <w:i/>
          <w:sz w:val="24"/>
          <w:szCs w:val="24"/>
        </w:rPr>
        <w:t>spread</w:t>
      </w:r>
      <w:r>
        <w:rPr>
          <w:rFonts w:ascii="Times New Roman" w:hAnsi="Times New Roman"/>
          <w:sz w:val="24"/>
          <w:szCs w:val="24"/>
        </w:rPr>
        <w:t>, volumen de las emisiones, divisas y calificación crediticia. Por otro lado se produce una disminución acentuada de las emisiones situadas en paraísos fiscales. Además, se refleja con mayor profundidad la enorme crisis económica originada en EEUU, desapareciendo las emisiones estadounidenses y europeas del mercado de eurobonos, países centrados en reequilibrar los desequilibrios económicos y los déficits públicos y siendo sustituidas por los emergentes, el norte de Europa, Australia y Hong Kong. Los modelos de predicción concluyen un mejor comportamiento en 2009-2012, con un número menor de emisores (casi un 80% menos) pero más precisas y con menor coste. El sector energía es el más predecible por la propia estructura de la industria obteniéndose un mayor nivel de eficiencia.</w:t>
      </w:r>
    </w:p>
    <w:p w:rsidR="00935777" w:rsidRPr="00E230AB" w:rsidRDefault="00935777" w:rsidP="00935777">
      <w:pPr>
        <w:spacing w:before="120" w:after="120" w:line="360" w:lineRule="auto"/>
        <w:jc w:val="both"/>
        <w:rPr>
          <w:rFonts w:ascii="Arial" w:hAnsi="Arial" w:cs="Arial"/>
        </w:rPr>
      </w:pPr>
      <w:r>
        <w:rPr>
          <w:sz w:val="24"/>
          <w:szCs w:val="24"/>
        </w:rPr>
        <w:t>Con esta Tesis no se ha creado un nuevo paradigma pero si se ha estudiado un mercado financiero, el de eurobonos, para el periodo antes y durante la crisis, sin precedente en la investigación en las finanzas, con un análisis de eficiencia y un modelo de predicción que muestra unos resultados alejados del marco teórico económico pero que ayude a avanzar a las grandes empresas en su toma de decisiones en la búsqueda de la minimización de su carga financiera.</w:t>
      </w:r>
    </w:p>
    <w:p w:rsidR="00F2189F" w:rsidRDefault="00F2189F">
      <w:bookmarkStart w:id="0" w:name="_GoBack"/>
      <w:bookmarkEnd w:id="0"/>
    </w:p>
    <w:sectPr w:rsidR="00F2189F" w:rsidSect="00F2189F">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777"/>
    <w:rsid w:val="005554E7"/>
    <w:rsid w:val="00935777"/>
    <w:rsid w:val="00F2189F"/>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A07A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777"/>
    <w:rPr>
      <w:rFonts w:ascii="Times New Roman" w:eastAsia="Times New Roman" w:hAnsi="Times New Roman" w:cs="Times New Roman"/>
      <w:sz w:val="20"/>
      <w:szCs w:val="20"/>
      <w:lang w:val="es-ES"/>
    </w:rPr>
  </w:style>
  <w:style w:type="paragraph" w:styleId="Ttulo1">
    <w:name w:val="heading 1"/>
    <w:basedOn w:val="Normal"/>
    <w:next w:val="Normal"/>
    <w:link w:val="Ttulo1Car"/>
    <w:qFormat/>
    <w:rsid w:val="005554E7"/>
    <w:pPr>
      <w:keepNext/>
      <w:spacing w:before="120" w:after="120" w:line="360" w:lineRule="auto"/>
      <w:jc w:val="both"/>
      <w:outlineLvl w:val="0"/>
    </w:pPr>
    <w:rPr>
      <w:rFonts w:asciiTheme="majorHAnsi" w:hAnsiTheme="majorHAnsi"/>
      <w:b/>
      <w:sz w:val="3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554E7"/>
    <w:rPr>
      <w:rFonts w:asciiTheme="majorHAnsi" w:eastAsia="Times New Roman" w:hAnsiTheme="majorHAnsi" w:cs="Times New Roman"/>
      <w:b/>
      <w:sz w:val="32"/>
      <w:szCs w:val="20"/>
    </w:rPr>
  </w:style>
  <w:style w:type="paragraph" w:customStyle="1" w:styleId="Graficos">
    <w:name w:val="Graficos"/>
    <w:basedOn w:val="Normal"/>
    <w:autoRedefine/>
    <w:qFormat/>
    <w:rsid w:val="005554E7"/>
    <w:rPr>
      <w:rFonts w:asciiTheme="majorHAnsi" w:hAnsiTheme="majorHAnsi"/>
      <w:b/>
      <w:sz w:val="32"/>
      <w:szCs w:val="28"/>
    </w:rPr>
  </w:style>
  <w:style w:type="paragraph" w:styleId="Sangradetdecuerpo">
    <w:name w:val="Body Text Indent"/>
    <w:basedOn w:val="Normal"/>
    <w:link w:val="SangradetdecuerpoCar"/>
    <w:uiPriority w:val="99"/>
    <w:unhideWhenUsed/>
    <w:rsid w:val="00935777"/>
    <w:pPr>
      <w:spacing w:after="120"/>
      <w:ind w:left="283"/>
    </w:pPr>
  </w:style>
  <w:style w:type="character" w:customStyle="1" w:styleId="SangradetdecuerpoCar">
    <w:name w:val="Sangría de t. de cuerpo Car"/>
    <w:basedOn w:val="Fuentedeprrafopredeter"/>
    <w:link w:val="Sangradetdecuerpo"/>
    <w:uiPriority w:val="99"/>
    <w:rsid w:val="00935777"/>
    <w:rPr>
      <w:rFonts w:ascii="Times New Roman" w:eastAsia="Times New Roman" w:hAnsi="Times New Roman" w:cs="Times New Roman"/>
      <w:sz w:val="20"/>
      <w:szCs w:val="20"/>
      <w:lang w:val="es-ES"/>
    </w:rPr>
  </w:style>
  <w:style w:type="paragraph" w:styleId="NormalWeb">
    <w:name w:val="Normal (Web)"/>
    <w:basedOn w:val="Normal"/>
    <w:uiPriority w:val="99"/>
    <w:unhideWhenUsed/>
    <w:rsid w:val="00935777"/>
    <w:pPr>
      <w:spacing w:before="100" w:beforeAutospacing="1" w:after="100" w:afterAutospacing="1"/>
    </w:pPr>
    <w:rPr>
      <w:rFonts w:ascii="Times" w:eastAsiaTheme="minorEastAsia" w:hAnsi="Times"/>
      <w:lang w:val="es-ES_tradn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777"/>
    <w:rPr>
      <w:rFonts w:ascii="Times New Roman" w:eastAsia="Times New Roman" w:hAnsi="Times New Roman" w:cs="Times New Roman"/>
      <w:sz w:val="20"/>
      <w:szCs w:val="20"/>
      <w:lang w:val="es-ES"/>
    </w:rPr>
  </w:style>
  <w:style w:type="paragraph" w:styleId="Ttulo1">
    <w:name w:val="heading 1"/>
    <w:basedOn w:val="Normal"/>
    <w:next w:val="Normal"/>
    <w:link w:val="Ttulo1Car"/>
    <w:qFormat/>
    <w:rsid w:val="005554E7"/>
    <w:pPr>
      <w:keepNext/>
      <w:spacing w:before="120" w:after="120" w:line="360" w:lineRule="auto"/>
      <w:jc w:val="both"/>
      <w:outlineLvl w:val="0"/>
    </w:pPr>
    <w:rPr>
      <w:rFonts w:asciiTheme="majorHAnsi" w:hAnsiTheme="majorHAnsi"/>
      <w:b/>
      <w:sz w:val="3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554E7"/>
    <w:rPr>
      <w:rFonts w:asciiTheme="majorHAnsi" w:eastAsia="Times New Roman" w:hAnsiTheme="majorHAnsi" w:cs="Times New Roman"/>
      <w:b/>
      <w:sz w:val="32"/>
      <w:szCs w:val="20"/>
    </w:rPr>
  </w:style>
  <w:style w:type="paragraph" w:customStyle="1" w:styleId="Graficos">
    <w:name w:val="Graficos"/>
    <w:basedOn w:val="Normal"/>
    <w:autoRedefine/>
    <w:qFormat/>
    <w:rsid w:val="005554E7"/>
    <w:rPr>
      <w:rFonts w:asciiTheme="majorHAnsi" w:hAnsiTheme="majorHAnsi"/>
      <w:b/>
      <w:sz w:val="32"/>
      <w:szCs w:val="28"/>
    </w:rPr>
  </w:style>
  <w:style w:type="paragraph" w:styleId="Sangradetdecuerpo">
    <w:name w:val="Body Text Indent"/>
    <w:basedOn w:val="Normal"/>
    <w:link w:val="SangradetdecuerpoCar"/>
    <w:uiPriority w:val="99"/>
    <w:unhideWhenUsed/>
    <w:rsid w:val="00935777"/>
    <w:pPr>
      <w:spacing w:after="120"/>
      <w:ind w:left="283"/>
    </w:pPr>
  </w:style>
  <w:style w:type="character" w:customStyle="1" w:styleId="SangradetdecuerpoCar">
    <w:name w:val="Sangría de t. de cuerpo Car"/>
    <w:basedOn w:val="Fuentedeprrafopredeter"/>
    <w:link w:val="Sangradetdecuerpo"/>
    <w:uiPriority w:val="99"/>
    <w:rsid w:val="00935777"/>
    <w:rPr>
      <w:rFonts w:ascii="Times New Roman" w:eastAsia="Times New Roman" w:hAnsi="Times New Roman" w:cs="Times New Roman"/>
      <w:sz w:val="20"/>
      <w:szCs w:val="20"/>
      <w:lang w:val="es-ES"/>
    </w:rPr>
  </w:style>
  <w:style w:type="paragraph" w:styleId="NormalWeb">
    <w:name w:val="Normal (Web)"/>
    <w:basedOn w:val="Normal"/>
    <w:uiPriority w:val="99"/>
    <w:unhideWhenUsed/>
    <w:rsid w:val="00935777"/>
    <w:pPr>
      <w:spacing w:before="100" w:beforeAutospacing="1" w:after="100" w:afterAutospacing="1"/>
    </w:pPr>
    <w:rPr>
      <w:rFonts w:ascii="Times" w:eastAsiaTheme="minorEastAsia" w:hAnsi="Time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931</Words>
  <Characters>5123</Characters>
  <Application>Microsoft Macintosh Word</Application>
  <DocSecurity>0</DocSecurity>
  <Lines>42</Lines>
  <Paragraphs>12</Paragraphs>
  <ScaleCrop>false</ScaleCrop>
  <Company>U.P.V.</Company>
  <LinksUpToDate>false</LinksUpToDate>
  <CharactersWithSpaces>6042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GUAITA MARTINEZ</dc:creator>
  <cp:keywords/>
  <dc:description/>
  <cp:lastModifiedBy>JOSE MANUEL GUAITA MARTINEZ</cp:lastModifiedBy>
  <cp:revision>1</cp:revision>
  <dcterms:created xsi:type="dcterms:W3CDTF">2014-06-17T22:21:00Z</dcterms:created>
  <dcterms:modified xsi:type="dcterms:W3CDTF">2014-06-17T22:22:00Z</dcterms:modified>
</cp:coreProperties>
</file>