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2FE" w:rsidRPr="00E17F4C" w:rsidRDefault="000222FE" w:rsidP="000222FE">
      <w:pPr>
        <w:jc w:val="center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</w:pPr>
      <w:r w:rsidRPr="00E17F4C"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  <w:t>Índice</w:t>
      </w:r>
      <w:r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  <w:t xml:space="preserve"> general</w:t>
      </w:r>
    </w:p>
    <w:p w:rsidR="000222FE" w:rsidRDefault="000222FE" w:rsidP="000222FE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805"/>
        <w:gridCol w:w="916"/>
      </w:tblGrid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INTRODUCCION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E22311" w:rsidRDefault="000222FE" w:rsidP="00B968D7">
            <w:r w:rsidRPr="00106326">
              <w:t xml:space="preserve">CAPITULO </w:t>
            </w:r>
            <w:r>
              <w:t>1</w:t>
            </w:r>
            <w:r w:rsidRPr="00106326">
              <w:t>- MARCO TEORICO</w:t>
            </w:r>
            <w:r>
              <w:t>. INNOVACION Y REDES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1.1 La innovación tecnológica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1</w:t>
            </w:r>
            <w:r w:rsidRPr="007A6A3C">
              <w:t>.2 Concepción evolucionista de la innovaci</w:t>
            </w:r>
            <w:r w:rsidRPr="007A6A3C">
              <w:rPr>
                <w:rFonts w:hint="cs"/>
              </w:rPr>
              <w:t>ó</w:t>
            </w:r>
            <w:r w:rsidRPr="007A6A3C">
              <w:t>n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rPr>
                <w:lang w:val="es-ES_tradnl"/>
              </w:rPr>
              <w:t>1.2.1 Progreso técnico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1.2.2 Régimen tecnológico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1.2.3 cambio técnico y capacidad tecnológica de la empresa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1.2.4 El proceso de aprendizaje y las instituciones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1.2.5 Adopción tecnológica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1.3 Redes socio técnicas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1.3.1 Las características de una red efectiva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1.3.2 Tipos de redes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754066">
              <w:t>1.3.3 Construcción y funcionamiento de la red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DD7F38" w:rsidRDefault="000222FE" w:rsidP="00B968D7">
            <w:pPr>
              <w:spacing w:line="360" w:lineRule="auto"/>
              <w:rPr>
                <w:rFonts w:cstheme="minorHAnsi"/>
                <w:lang w:val="es-ES"/>
              </w:rPr>
            </w:pPr>
            <w:r w:rsidRPr="00DD7F38">
              <w:t>1.4 El tablero de comando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DD7F38" w:rsidRDefault="000222FE" w:rsidP="00B968D7">
            <w:pPr>
              <w:spacing w:line="360" w:lineRule="auto"/>
              <w:rPr>
                <w:rFonts w:cstheme="minorHAnsi"/>
                <w:lang w:val="es-ES"/>
              </w:rPr>
            </w:pPr>
            <w:r>
              <w:t>1.5</w:t>
            </w:r>
            <w:r w:rsidRPr="008A5613">
              <w:t xml:space="preserve"> Particularidades de la innovación en los sistemas agroalimentarios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t>1.6</w:t>
            </w:r>
            <w:r w:rsidRPr="005C7B17">
              <w:t xml:space="preserve"> Particularidades de la innovación en las pequeñas y medianas empresas (PYMES)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106326">
              <w:t>CAPITULO</w:t>
            </w:r>
            <w:r>
              <w:t xml:space="preserve"> 2-  LA INVESTIGACION CUALITATIVA DE LA RED SOCIO-TECNICA (</w:t>
            </w:r>
            <w:r w:rsidRPr="00106326">
              <w:t>METODOLOGI</w:t>
            </w:r>
            <w:r>
              <w:t>A)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tabs>
                <w:tab w:val="left" w:pos="930"/>
              </w:tabs>
              <w:spacing w:line="360" w:lineRule="auto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892ED4">
              <w:t>2.1 El problema a investigar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92ED4">
              <w:t>2.2 Objetivos e hipótesis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92ED4">
              <w:t>2.3 La investigación cualitativa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92ED4">
              <w:t>2.4 El estudio de caso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41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92ED4">
              <w:t>2.5 Delimitación del objeto de estudio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2.5.1 Reseña de los programas implementados para el control de carpocapsa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2.6 El tablero de comando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49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337A9">
              <w:t xml:space="preserve">CAPITULO </w:t>
            </w:r>
            <w:r>
              <w:t>3-</w:t>
            </w:r>
            <w:r w:rsidRPr="00C337A9">
              <w:t xml:space="preserve"> </w:t>
            </w:r>
            <w:r>
              <w:t>COMPETITIVIDAD DEL SECTOR</w:t>
            </w:r>
            <w:r w:rsidRPr="00C337A9">
              <w:t xml:space="preserve"> FRUTÍC</w:t>
            </w:r>
            <w:r>
              <w:t>OLA</w:t>
            </w:r>
            <w:r w:rsidRPr="00C337A9">
              <w:t xml:space="preserve"> </w:t>
            </w:r>
            <w:r>
              <w:t>D</w:t>
            </w:r>
            <w:r w:rsidRPr="00C337A9">
              <w:t>E RÍO NEGRO Y NEUQUÉN</w:t>
            </w:r>
            <w:r>
              <w:t xml:space="preserve"> Y LUCHA CONTRA CARPOCAPSA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3.1- La importancia del subsistema frutícola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3.2-</w:t>
            </w:r>
            <w:r w:rsidRPr="00D434A4">
              <w:t xml:space="preserve"> </w:t>
            </w:r>
            <w:r>
              <w:t>L</w:t>
            </w:r>
            <w:r w:rsidRPr="00D434A4">
              <w:t>a problem</w:t>
            </w:r>
            <w:r w:rsidRPr="00D434A4">
              <w:rPr>
                <w:rFonts w:hint="cs"/>
              </w:rPr>
              <w:t>á</w:t>
            </w:r>
            <w:r w:rsidRPr="00D434A4">
              <w:t>tica sanitaria de la fruticultura regional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lastRenderedPageBreak/>
              <w:t>3.2.1- Incidencia comercial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3.2.2- Impacto económico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3.2.3- Impacto ambiental y en la salud de la población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3.3-</w:t>
            </w:r>
            <w:r w:rsidRPr="00C337A9">
              <w:t xml:space="preserve"> </w:t>
            </w:r>
            <w:r>
              <w:t xml:space="preserve">Las condiciones socio </w:t>
            </w:r>
            <w:r>
              <w:rPr>
                <w:rFonts w:hint="cs"/>
              </w:rPr>
              <w:t>–</w:t>
            </w:r>
            <w:r>
              <w:t xml:space="preserve"> productivas y su relaci</w:t>
            </w:r>
            <w:r>
              <w:rPr>
                <w:rFonts w:hint="cs"/>
              </w:rPr>
              <w:t>ó</w:t>
            </w:r>
            <w:r>
              <w:t>n con el control de carpocapsa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3.3.1- La trayectoria de la trama frutícola, historia de la formación y la concentración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754066">
              <w:t>3.3.2- Relaciones de conflicto entre los agentes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3.4-</w:t>
            </w:r>
            <w:r w:rsidRPr="00C337A9">
              <w:t xml:space="preserve"> </w:t>
            </w:r>
            <w:r>
              <w:t>Trayectoria tecnológica de los agentes y su incidencia en el control de carpocapsa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754066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3.5</w:t>
            </w:r>
            <w:r w:rsidRPr="00754066">
              <w:t>- Dificultad para cumplir las exigencias de calidad: el control de carpocapsa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Default="000222FE" w:rsidP="00B968D7">
            <w:r>
              <w:t>3.5.1- Programas y normas de calidad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Default="000222FE" w:rsidP="00B968D7">
            <w:r>
              <w:t>3.5.2- Técnicas eco - compatibles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79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CAPITULO 4 ANALISIS DE LA PRIMER ETAPA DE LA RED SOCIO-TECNICA (1996-1999)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tabs>
                <w:tab w:val="left" w:pos="1222"/>
              </w:tabs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4.1- Elementos que desencadenaron la intervención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87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4.2- La intervención inicial: El Programa d</w:t>
            </w:r>
            <w:r w:rsidRPr="0006708C">
              <w:t>e Lucha Contra Carpocapsa (P</w:t>
            </w:r>
            <w:r>
              <w:t>LCC</w:t>
            </w:r>
            <w:r w:rsidRPr="0006708C">
              <w:t>)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94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lang w:val="es-ES_tradnl"/>
              </w:rPr>
              <w:t>4.3- A</w:t>
            </w:r>
            <w:r w:rsidRPr="005E63EA">
              <w:rPr>
                <w:lang w:val="es-ES_tradnl"/>
              </w:rPr>
              <w:t>nálisis del proceso desencadenado en la red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tabs>
                <w:tab w:val="left" w:pos="2160"/>
              </w:tabs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lang w:val="es-MX"/>
              </w:rPr>
              <w:t>4.4- Los resultados de la etapa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107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lang w:val="es-ES_tradnl"/>
              </w:rPr>
              <w:t>4.5- Tablero de comando, estado y dinámica de la red en la etapa I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Cs w:val="22"/>
                <w:lang w:val="es-ES_tradnl"/>
              </w:rPr>
              <w:t>CAPITULO 5</w:t>
            </w:r>
            <w:r w:rsidRPr="00950B80">
              <w:rPr>
                <w:szCs w:val="22"/>
                <w:lang w:val="es-ES_tradnl"/>
              </w:rPr>
              <w:t xml:space="preserve"> </w:t>
            </w:r>
            <w:r>
              <w:rPr>
                <w:szCs w:val="22"/>
                <w:lang w:val="es-ES_tradnl"/>
              </w:rPr>
              <w:t xml:space="preserve">ANALISIS DE LA SEGUNDA </w:t>
            </w:r>
            <w:r w:rsidRPr="00950B80">
              <w:rPr>
                <w:szCs w:val="22"/>
                <w:lang w:val="es-ES_tradnl"/>
              </w:rPr>
              <w:t>ET</w:t>
            </w:r>
            <w:r>
              <w:rPr>
                <w:szCs w:val="22"/>
                <w:lang w:val="es-ES_tradnl"/>
              </w:rPr>
              <w:t>A</w:t>
            </w:r>
            <w:r w:rsidRPr="00950B80">
              <w:rPr>
                <w:szCs w:val="22"/>
                <w:lang w:val="es-ES_tradnl"/>
              </w:rPr>
              <w:t>PA</w:t>
            </w:r>
            <w:r>
              <w:rPr>
                <w:szCs w:val="22"/>
                <w:lang w:val="es-ES_tradnl"/>
              </w:rPr>
              <w:t xml:space="preserve"> DE LA RED SOCIO TECNICA</w:t>
            </w:r>
            <w:r w:rsidRPr="00950B80">
              <w:rPr>
                <w:szCs w:val="22"/>
                <w:lang w:val="es-ES_tradnl"/>
              </w:rPr>
              <w:t xml:space="preserve"> (2000</w:t>
            </w:r>
            <w:r>
              <w:rPr>
                <w:szCs w:val="22"/>
                <w:lang w:val="es-ES_tradnl"/>
              </w:rPr>
              <w:t>-</w:t>
            </w:r>
            <w:r w:rsidRPr="00950B80">
              <w:rPr>
                <w:szCs w:val="22"/>
                <w:lang w:val="es-ES_tradnl"/>
              </w:rPr>
              <w:t>2002)</w:t>
            </w:r>
            <w:r>
              <w:rPr>
                <w:szCs w:val="22"/>
                <w:lang w:val="es-ES_tradnl"/>
              </w:rPr>
              <w:t>.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111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5.</w:t>
            </w:r>
            <w:r w:rsidRPr="00825B54">
              <w:t>1- Reformulación del PLCC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lang w:val="es-ES_tradnl"/>
              </w:rPr>
              <w:t>5.</w:t>
            </w:r>
            <w:r w:rsidRPr="00AF57C3">
              <w:rPr>
                <w:lang w:val="es-ES_tradnl"/>
              </w:rPr>
              <w:t>2- Crisis del PLCC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Cs/>
                <w:lang w:val="es-ES_tradnl"/>
              </w:rPr>
              <w:t>5.</w:t>
            </w:r>
            <w:r w:rsidRPr="005D3372">
              <w:rPr>
                <w:bCs/>
                <w:lang w:val="es-ES_tradnl"/>
              </w:rPr>
              <w:t>3- Cierre del mercado brasilero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5.4- Análisis de las acciones en la red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5.5- Tablero de comando, estado y dinámica de la red en la etapa II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Cs w:val="22"/>
                <w:lang w:val="es-ES_tradnl"/>
              </w:rPr>
              <w:t xml:space="preserve">CAPITULO 6-  </w:t>
            </w:r>
            <w:r w:rsidRPr="00D84C9F">
              <w:rPr>
                <w:szCs w:val="22"/>
                <w:lang w:val="es-ES_tradnl"/>
              </w:rPr>
              <w:t>ET</w:t>
            </w:r>
            <w:r>
              <w:rPr>
                <w:szCs w:val="22"/>
                <w:lang w:val="es-ES_tradnl"/>
              </w:rPr>
              <w:t>A</w:t>
            </w:r>
            <w:r w:rsidRPr="00D84C9F">
              <w:rPr>
                <w:szCs w:val="22"/>
                <w:lang w:val="es-ES_tradnl"/>
              </w:rPr>
              <w:t>PA III (2003/2005): Primeros bloques TCS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129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lang w:val="es-ES_tradnl"/>
              </w:rPr>
              <w:t>6.</w:t>
            </w:r>
            <w:r w:rsidRPr="00BD1BB5">
              <w:rPr>
                <w:lang w:val="es-ES_tradnl"/>
              </w:rPr>
              <w:t>1- Cambios en la coordinación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DB3E2C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>
              <w:rPr>
                <w:lang w:val="es-ES_tradnl"/>
              </w:rPr>
              <w:t>6.</w:t>
            </w:r>
            <w:r w:rsidRPr="003C5368">
              <w:rPr>
                <w:lang w:val="es-ES_tradnl"/>
              </w:rPr>
              <w:t xml:space="preserve">2- </w:t>
            </w:r>
            <w:r>
              <w:rPr>
                <w:lang w:val="es-ES_tradnl"/>
              </w:rPr>
              <w:t>Revisión de las e</w:t>
            </w:r>
            <w:r w:rsidRPr="003C5368">
              <w:rPr>
                <w:lang w:val="es-ES_tradnl"/>
              </w:rPr>
              <w:t>strategia</w:t>
            </w:r>
            <w:r>
              <w:rPr>
                <w:lang w:val="es-ES_tradnl"/>
              </w:rPr>
              <w:t>s</w:t>
            </w:r>
          </w:p>
        </w:tc>
        <w:tc>
          <w:tcPr>
            <w:tcW w:w="916" w:type="dxa"/>
          </w:tcPr>
          <w:p w:rsidR="000222FE" w:rsidRPr="00DB3E2C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135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DB3E2C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>
              <w:rPr>
                <w:lang w:val="es-ES_tradnl"/>
              </w:rPr>
              <w:t>6.</w:t>
            </w:r>
            <w:r w:rsidRPr="00FF5592">
              <w:rPr>
                <w:lang w:val="es-ES_tradnl"/>
              </w:rPr>
              <w:t>3- El Proyecto PAS del INTA (2003 – 2006)</w:t>
            </w:r>
          </w:p>
        </w:tc>
        <w:tc>
          <w:tcPr>
            <w:tcW w:w="916" w:type="dxa"/>
          </w:tcPr>
          <w:p w:rsidR="000222FE" w:rsidRPr="00DB3E2C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139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DB3E2C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>
              <w:t>6.4</w:t>
            </w:r>
            <w:r w:rsidRPr="009159AF">
              <w:t>- Primeros bloques de confusión sexual. Formación de pre-bloques</w:t>
            </w:r>
          </w:p>
        </w:tc>
        <w:tc>
          <w:tcPr>
            <w:tcW w:w="916" w:type="dxa"/>
          </w:tcPr>
          <w:p w:rsidR="000222FE" w:rsidRPr="00DB3E2C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143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DB3E2C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>
              <w:t>6.5- Resultados de la etapa</w:t>
            </w:r>
          </w:p>
        </w:tc>
        <w:tc>
          <w:tcPr>
            <w:tcW w:w="916" w:type="dxa"/>
          </w:tcPr>
          <w:p w:rsidR="000222FE" w:rsidRPr="00DB3E2C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146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DB3E2C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>
              <w:t>6.6- Tablero de comando, estado y dinámica de la red en la etapa III</w:t>
            </w:r>
          </w:p>
        </w:tc>
        <w:tc>
          <w:tcPr>
            <w:tcW w:w="916" w:type="dxa"/>
          </w:tcPr>
          <w:p w:rsidR="000222FE" w:rsidRPr="00DB3E2C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148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CAPITULO 7</w:t>
            </w:r>
            <w:r w:rsidRPr="00903BD3">
              <w:t xml:space="preserve"> ETAPA IV EL </w:t>
            </w:r>
            <w:r>
              <w:t>componente regional del Programa Nacional de Supresión de Carpocapsa (</w:t>
            </w:r>
            <w:r w:rsidRPr="00903BD3">
              <w:t>P</w:t>
            </w:r>
            <w:r>
              <w:t>R</w:t>
            </w:r>
            <w:r w:rsidRPr="00903BD3">
              <w:t>SC</w:t>
            </w:r>
            <w:r>
              <w:t>)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>
              <w:lastRenderedPageBreak/>
              <w:t>7.</w:t>
            </w:r>
            <w:r w:rsidRPr="00ED0433">
              <w:t>1- Proyecto Regional de Supresión de carpocapsa Patagonia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155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 w:rsidRPr="00452CB5">
              <w:t>7.2- Implementación del PRSC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162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>
              <w:t>7.</w:t>
            </w:r>
            <w:r w:rsidRPr="0089340F">
              <w:t>3 Resultados del proyecto en la región Patagónica (PRSC)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175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>
              <w:t>7.4- Tablero de comando, estado y dinámica de la red en la etapa IV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188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841549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41549">
              <w:t>7.5- E</w:t>
            </w:r>
            <w:r>
              <w:t>l futuro… propuestas, acuerdos</w:t>
            </w:r>
            <w:proofErr w:type="gramStart"/>
            <w:r>
              <w:t>?</w:t>
            </w:r>
            <w:proofErr w:type="gramEnd"/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190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>
              <w:t>CAPITULO 8- CONSIDERACIONES FINALES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194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 w:rsidRPr="00452CB5">
              <w:rPr>
                <w:i/>
              </w:rPr>
              <w:t>La innovación: la TCS en grandes áreas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196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 w:rsidRPr="00452CB5">
              <w:rPr>
                <w:i/>
              </w:rPr>
              <w:t>La red socio-técnica: la implementación de los programas de lucha</w:t>
            </w:r>
          </w:p>
        </w:tc>
        <w:tc>
          <w:tcPr>
            <w:tcW w:w="916" w:type="dxa"/>
          </w:tcPr>
          <w:p w:rsidR="000222FE" w:rsidRPr="003A4B12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  <w:lang w:val="es-ES_tradnl"/>
              </w:rPr>
            </w:pPr>
            <w:r>
              <w:rPr>
                <w:rFonts w:cstheme="minorHAnsi"/>
                <w:sz w:val="22"/>
                <w:szCs w:val="22"/>
                <w:lang w:val="es-ES_tradnl"/>
              </w:rPr>
              <w:t>198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>
              <w:t>BIBLIOGRAFIA</w:t>
            </w:r>
          </w:p>
        </w:tc>
        <w:tc>
          <w:tcPr>
            <w:tcW w:w="916" w:type="dxa"/>
          </w:tcPr>
          <w:p w:rsidR="000222FE" w:rsidRPr="003A4B12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  <w:lang w:val="es-ES_tradnl"/>
              </w:rPr>
            </w:pPr>
            <w:r>
              <w:rPr>
                <w:rFonts w:cstheme="minorHAnsi"/>
                <w:sz w:val="22"/>
                <w:szCs w:val="22"/>
                <w:lang w:val="es-ES_tradnl"/>
              </w:rPr>
              <w:t>202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>
              <w:rPr>
                <w:rFonts w:cstheme="minorHAnsi"/>
                <w:sz w:val="22"/>
                <w:szCs w:val="22"/>
                <w:lang w:val="es-ES_tradnl"/>
              </w:rPr>
              <w:t>ANEXO I- METODOLOGIA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212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401D9D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_tradnl"/>
              </w:rPr>
            </w:pPr>
            <w:r>
              <w:rPr>
                <w:rFonts w:cstheme="minorHAnsi"/>
                <w:sz w:val="22"/>
                <w:szCs w:val="22"/>
                <w:lang w:val="es-ES_tradnl"/>
              </w:rPr>
              <w:t>ANEXO II- FUNBAPA</w:t>
            </w:r>
          </w:p>
        </w:tc>
        <w:tc>
          <w:tcPr>
            <w:tcW w:w="916" w:type="dxa"/>
          </w:tcPr>
          <w:p w:rsidR="000222FE" w:rsidRPr="00401D9D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216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ANEXO III- PROGRAMA REGIONAL DE AGROQUIMICOS</w:t>
            </w: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220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3A4B12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ANEXO IV- SISTEMA MITIGACION DE RIESGO</w:t>
            </w:r>
          </w:p>
        </w:tc>
        <w:tc>
          <w:tcPr>
            <w:tcW w:w="916" w:type="dxa"/>
          </w:tcPr>
          <w:p w:rsidR="000222FE" w:rsidRPr="003A4B12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226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3A4B12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ANEXO V- ENTREVISTAS Y TESTIMONIOS</w:t>
            </w:r>
          </w:p>
        </w:tc>
        <w:tc>
          <w:tcPr>
            <w:tcW w:w="916" w:type="dxa"/>
          </w:tcPr>
          <w:p w:rsidR="000222FE" w:rsidRPr="003A4B12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231</w:t>
            </w: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3A4B12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3A4B12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6A079E" w:rsidRDefault="000222FE" w:rsidP="00B968D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16" w:type="dxa"/>
          </w:tcPr>
          <w:p w:rsidR="000222FE" w:rsidRPr="006A079E" w:rsidRDefault="000222FE" w:rsidP="00B968D7">
            <w:pPr>
              <w:spacing w:line="360" w:lineRule="auto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222FE" w:rsidRPr="006A079E" w:rsidTr="00B968D7">
        <w:tc>
          <w:tcPr>
            <w:tcW w:w="7805" w:type="dxa"/>
          </w:tcPr>
          <w:p w:rsidR="000222FE" w:rsidRPr="003A4B12" w:rsidRDefault="000222FE" w:rsidP="00B968D7">
            <w:pPr>
              <w:spacing w:line="360" w:lineRule="auto"/>
              <w:rPr>
                <w:rFonts w:cstheme="minorHAnsi"/>
                <w:sz w:val="22"/>
                <w:szCs w:val="22"/>
                <w:lang w:val="es-ES" w:eastAsia="es-ES"/>
              </w:rPr>
            </w:pPr>
          </w:p>
        </w:tc>
        <w:tc>
          <w:tcPr>
            <w:tcW w:w="916" w:type="dxa"/>
          </w:tcPr>
          <w:p w:rsidR="000222FE" w:rsidRPr="003A4B12" w:rsidRDefault="000222FE" w:rsidP="00B968D7">
            <w:pPr>
              <w:spacing w:line="360" w:lineRule="auto"/>
              <w:jc w:val="right"/>
              <w:rPr>
                <w:rFonts w:cstheme="minorHAnsi"/>
                <w:sz w:val="22"/>
                <w:szCs w:val="22"/>
              </w:rPr>
            </w:pPr>
          </w:p>
        </w:tc>
      </w:tr>
    </w:tbl>
    <w:p w:rsidR="000222FE" w:rsidRDefault="000222FE" w:rsidP="000222FE"/>
    <w:p w:rsidR="000222FE" w:rsidRDefault="000222FE" w:rsidP="000222FE">
      <w:pPr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  <w:lastRenderedPageBreak/>
        <w:br w:type="page"/>
      </w:r>
    </w:p>
    <w:p w:rsidR="000222FE" w:rsidRPr="000F43BA" w:rsidRDefault="000222FE" w:rsidP="000222FE">
      <w:pPr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  <w:lastRenderedPageBreak/>
        <w:t>Índice de tablas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46"/>
        <w:gridCol w:w="575"/>
      </w:tblGrid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Tabla I- Tecnología e innovación, distintos enfoques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11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Tabla II- Actores participantes de la red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27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I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II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Incidencia de cada tipo social en la fruticultura regional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61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I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V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- </w:t>
            </w:r>
            <w:r w:rsidRPr="00AD768E">
              <w:rPr>
                <w:rFonts w:asciiTheme="minorHAnsi" w:hAnsiTheme="minorHAnsi" w:cstheme="minorHAnsi"/>
                <w:i/>
                <w:sz w:val="22"/>
                <w:szCs w:val="22"/>
                <w:lang w:val="es-ES"/>
              </w:rPr>
              <w:t>Ranking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competitividad de los países productores de manzana y pera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66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V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Cambio en la densidad de plantación de manzanos y perales entre ´93 y ´05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67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V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- Caracterización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de los 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actores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la E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tapa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I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95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VI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- Caracterización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de los 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actores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la Etapa II</w:t>
            </w:r>
          </w:p>
        </w:tc>
        <w:tc>
          <w:tcPr>
            <w:tcW w:w="575" w:type="dxa"/>
          </w:tcPr>
          <w:p w:rsidR="000222FE" w:rsidRPr="000B3DE6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112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0B3DE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 w:rsidRPr="000B3DE6">
              <w:rPr>
                <w:rFonts w:cstheme="minorHAnsi"/>
                <w:sz w:val="22"/>
                <w:szCs w:val="22"/>
                <w:lang w:val="es-ES"/>
              </w:rPr>
              <w:t>Tabla VI</w:t>
            </w:r>
            <w:r>
              <w:rPr>
                <w:rFonts w:cstheme="minorHAnsi"/>
                <w:sz w:val="22"/>
                <w:szCs w:val="22"/>
                <w:lang w:val="es-ES"/>
              </w:rPr>
              <w:t>II</w:t>
            </w:r>
            <w:r w:rsidRPr="000B3DE6">
              <w:rPr>
                <w:rFonts w:cstheme="minorHAnsi"/>
                <w:sz w:val="22"/>
                <w:szCs w:val="22"/>
                <w:lang w:val="es-ES"/>
              </w:rPr>
              <w:t>- Muestras a cosecha con daño de carpocapsa inferior al 2%</w:t>
            </w:r>
          </w:p>
        </w:tc>
        <w:tc>
          <w:tcPr>
            <w:tcW w:w="575" w:type="dxa"/>
          </w:tcPr>
          <w:p w:rsidR="000222FE" w:rsidRPr="000B3DE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123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0B3DE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 xml:space="preserve">Tabla </w:t>
            </w:r>
            <w:r w:rsidRPr="000B3DE6">
              <w:rPr>
                <w:rFonts w:cstheme="minorHAnsi"/>
                <w:sz w:val="22"/>
                <w:szCs w:val="22"/>
                <w:lang w:val="es-ES"/>
              </w:rPr>
              <w:t>I</w:t>
            </w:r>
            <w:r>
              <w:rPr>
                <w:rFonts w:cstheme="minorHAnsi"/>
                <w:sz w:val="22"/>
                <w:szCs w:val="22"/>
                <w:lang w:val="es-ES"/>
              </w:rPr>
              <w:t>X</w:t>
            </w:r>
            <w:r w:rsidRPr="000B3DE6">
              <w:rPr>
                <w:rFonts w:cstheme="minorHAnsi"/>
                <w:sz w:val="22"/>
                <w:szCs w:val="22"/>
                <w:lang w:val="es-ES"/>
              </w:rPr>
              <w:t>- SMR resultados del muestreo por especie, 2003</w:t>
            </w:r>
          </w:p>
        </w:tc>
        <w:tc>
          <w:tcPr>
            <w:tcW w:w="575" w:type="dxa"/>
          </w:tcPr>
          <w:p w:rsidR="000222FE" w:rsidRPr="000B3DE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124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X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- Caracterización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de los 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actores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la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tapa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III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130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X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Caracterización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los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actores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la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tapa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IV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153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 w:rsidRPr="00484CF6">
              <w:rPr>
                <w:rFonts w:cstheme="minorHAnsi"/>
                <w:sz w:val="22"/>
                <w:szCs w:val="22"/>
                <w:lang w:val="es-ES"/>
              </w:rPr>
              <w:t>Tabla X</w:t>
            </w:r>
            <w:r>
              <w:rPr>
                <w:rFonts w:cstheme="minorHAnsi"/>
                <w:sz w:val="22"/>
                <w:szCs w:val="22"/>
                <w:lang w:val="es-ES"/>
              </w:rPr>
              <w:t>II</w:t>
            </w:r>
            <w:r w:rsidRPr="00484CF6">
              <w:rPr>
                <w:rFonts w:cstheme="minorHAnsi"/>
                <w:sz w:val="22"/>
                <w:szCs w:val="22"/>
                <w:lang w:val="es-ES"/>
              </w:rPr>
              <w:t xml:space="preserve">- Personal del PRSC, evolución durante la ejecución 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157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Tabla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X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II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-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Porcentaje de s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ubsidio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del costo de dispensers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según superficie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del productor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160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Tabla XIV-</w:t>
            </w:r>
            <w:r w:rsidRPr="00484CF6">
              <w:rPr>
                <w:rFonts w:cstheme="minorHAnsi"/>
                <w:sz w:val="22"/>
                <w:szCs w:val="22"/>
                <w:lang w:val="es-ES"/>
              </w:rPr>
              <w:t xml:space="preserve"> Origen del financiamiento por campaña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161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32752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Tabla XV</w:t>
            </w:r>
            <w:r w:rsidRPr="00432752">
              <w:rPr>
                <w:rFonts w:cstheme="minorHAnsi"/>
                <w:sz w:val="22"/>
                <w:szCs w:val="22"/>
                <w:lang w:val="es-ES"/>
              </w:rPr>
              <w:t>- Bloques de tercer año, colocación de emisores temporada 2008-09</w:t>
            </w:r>
          </w:p>
        </w:tc>
        <w:tc>
          <w:tcPr>
            <w:tcW w:w="575" w:type="dxa"/>
          </w:tcPr>
          <w:p w:rsidR="000222FE" w:rsidRPr="00432752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172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Tabla X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VI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Resultados del P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R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SC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176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:rsidR="000222FE" w:rsidRDefault="000222FE" w:rsidP="000222FE"/>
    <w:p w:rsidR="000222FE" w:rsidRDefault="000222FE" w:rsidP="000222FE">
      <w:r>
        <w:br w:type="page"/>
      </w:r>
    </w:p>
    <w:p w:rsidR="000222FE" w:rsidRDefault="000222FE" w:rsidP="000222FE"/>
    <w:p w:rsidR="000222FE" w:rsidRPr="000F43BA" w:rsidRDefault="000222FE" w:rsidP="000222FE">
      <w:pPr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</w:pPr>
      <w:r w:rsidRPr="000F43BA"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  <w:t xml:space="preserve">Índice de </w:t>
      </w:r>
      <w:r>
        <w:rPr>
          <w:rFonts w:ascii="Times New Roman" w:eastAsia="Times New Roman" w:hAnsi="Times New Roman" w:cs="Times New Roman"/>
          <w:b/>
          <w:bCs/>
          <w:kern w:val="28"/>
          <w:sz w:val="32"/>
          <w:szCs w:val="32"/>
          <w:lang w:val="es-ES"/>
        </w:rPr>
        <w:t>figuras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46"/>
        <w:gridCol w:w="575"/>
      </w:tblGrid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Figura 1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Morfología de las redes</w:t>
            </w:r>
          </w:p>
        </w:tc>
        <w:tc>
          <w:tcPr>
            <w:tcW w:w="575" w:type="dxa"/>
          </w:tcPr>
          <w:p w:rsidR="000222F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22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Figura 2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- </w:t>
            </w:r>
            <w:r w:rsidRPr="006A079E">
              <w:rPr>
                <w:rFonts w:asciiTheme="minorHAnsi" w:hAnsiTheme="minorHAnsi" w:cstheme="minorHAnsi"/>
                <w:sz w:val="22"/>
                <w:szCs w:val="22"/>
              </w:rPr>
              <w:t>Posición de los actores dentro del proyecto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29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3- Estado y dinámica de la red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30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4- Contexto internacional y regional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38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5- Recorte temporal de la investigación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44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6- Financiamiento de las acciones para controlar carpocapsa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48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7- Ubicación de la región frutícola de las provincias de Río Negro y Neuquén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52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8- Clúster frutícola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55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9- Larva de carpocapsa y daño en fruto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56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10- Generaciones de carpocapsa en la temporada y ciclo de vida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57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11- Sistemas de conducción de los montes frutales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67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Figura 12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Cambio varietal en manzanos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68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Figura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13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Cambio varietal en perales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69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Figura 14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Nivel tecnológico por tipo social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72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7391A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Figura 15- Emisión de feromonas naturales y sintéticas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80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0D182A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16</w:t>
            </w:r>
            <w:r w:rsidRPr="000D182A">
              <w:rPr>
                <w:rFonts w:cstheme="minorHAnsi"/>
                <w:sz w:val="22"/>
                <w:szCs w:val="22"/>
                <w:lang w:val="es-ES"/>
              </w:rPr>
              <w:t>- Organigrama de FUNBAPA</w:t>
            </w:r>
          </w:p>
        </w:tc>
        <w:tc>
          <w:tcPr>
            <w:tcW w:w="575" w:type="dxa"/>
          </w:tcPr>
          <w:p w:rsidR="000222FE" w:rsidRPr="000D182A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92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0B3DE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17</w:t>
            </w:r>
            <w:r w:rsidRPr="000B3DE6">
              <w:rPr>
                <w:rFonts w:cstheme="minorHAnsi"/>
                <w:sz w:val="22"/>
                <w:szCs w:val="22"/>
                <w:lang w:val="es-ES"/>
              </w:rPr>
              <w:t>- Organigrama del PLCC</w:t>
            </w:r>
          </w:p>
        </w:tc>
        <w:tc>
          <w:tcPr>
            <w:tcW w:w="575" w:type="dxa"/>
          </w:tcPr>
          <w:p w:rsidR="000222FE" w:rsidRPr="000B3DE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96</w:t>
            </w:r>
          </w:p>
        </w:tc>
      </w:tr>
      <w:tr w:rsidR="000222FE" w:rsidRPr="000B3DE6" w:rsidTr="00B968D7">
        <w:tc>
          <w:tcPr>
            <w:tcW w:w="8146" w:type="dxa"/>
          </w:tcPr>
          <w:p w:rsidR="000222FE" w:rsidRPr="000B3DE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18- Evolución del daño a cosecha de carpocapsa en la Etapa I</w:t>
            </w:r>
          </w:p>
        </w:tc>
        <w:tc>
          <w:tcPr>
            <w:tcW w:w="575" w:type="dxa"/>
          </w:tcPr>
          <w:p w:rsidR="000222FE" w:rsidRPr="000B3DE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99</w:t>
            </w:r>
          </w:p>
        </w:tc>
      </w:tr>
      <w:tr w:rsidR="000222FE" w:rsidRPr="000B3DE6" w:rsidTr="00B968D7">
        <w:tc>
          <w:tcPr>
            <w:tcW w:w="8146" w:type="dxa"/>
          </w:tcPr>
          <w:p w:rsidR="000222FE" w:rsidRPr="000B3DE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19- Evolución del daño de carpocapsa en la fruta conservada en frío</w:t>
            </w:r>
          </w:p>
        </w:tc>
        <w:tc>
          <w:tcPr>
            <w:tcW w:w="575" w:type="dxa"/>
          </w:tcPr>
          <w:p w:rsidR="000222FE" w:rsidRPr="000B3DE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99</w:t>
            </w:r>
          </w:p>
        </w:tc>
      </w:tr>
      <w:tr w:rsidR="000222FE" w:rsidRPr="000B3DE6" w:rsidTr="00B968D7">
        <w:tc>
          <w:tcPr>
            <w:tcW w:w="8146" w:type="dxa"/>
          </w:tcPr>
          <w:p w:rsidR="000222FE" w:rsidRPr="000B3DE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20</w:t>
            </w:r>
            <w:r w:rsidRPr="000B3DE6">
              <w:rPr>
                <w:rFonts w:cstheme="minorHAnsi"/>
                <w:sz w:val="22"/>
                <w:szCs w:val="22"/>
                <w:lang w:val="es-ES"/>
              </w:rPr>
              <w:t xml:space="preserve">- Porcentaje de daño a cosecha </w:t>
            </w:r>
            <w:r>
              <w:rPr>
                <w:rFonts w:cstheme="minorHAnsi"/>
                <w:sz w:val="22"/>
                <w:szCs w:val="22"/>
                <w:lang w:val="es-ES"/>
              </w:rPr>
              <w:t xml:space="preserve">de carpocapsa </w:t>
            </w:r>
            <w:r w:rsidRPr="000B3DE6">
              <w:rPr>
                <w:rFonts w:cstheme="minorHAnsi"/>
                <w:sz w:val="22"/>
                <w:szCs w:val="22"/>
                <w:lang w:val="es-ES"/>
              </w:rPr>
              <w:t>según estado del monte</w:t>
            </w:r>
          </w:p>
        </w:tc>
        <w:tc>
          <w:tcPr>
            <w:tcW w:w="575" w:type="dxa"/>
          </w:tcPr>
          <w:p w:rsidR="000222FE" w:rsidRPr="000B3DE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100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Figura 21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Tablero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comando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etapa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I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109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22- Manzana, evolución de las exportaciones a Brasil, período 2000-2002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118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23- Calibración de equipos pulverizadores y erradicación de montes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125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Figura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24- 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Tablero 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de comando 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etapa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II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127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5F6A31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25- Relación del SENASA con los programas</w:t>
            </w:r>
          </w:p>
        </w:tc>
        <w:tc>
          <w:tcPr>
            <w:tcW w:w="575" w:type="dxa"/>
          </w:tcPr>
          <w:p w:rsidR="000222FE" w:rsidRPr="005F6A31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134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26- Evolución de la calibración de equipos pulverizadores y erradicación de montes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147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5F029E" w:rsidRDefault="000222FE" w:rsidP="00B968D7">
            <w:pPr>
              <w:spacing w:after="120"/>
              <w:rPr>
                <w:rFonts w:asciiTheme="minorHAnsi" w:hAnsiTheme="minorHAnsi" w:cstheme="minorHAnsi"/>
                <w:lang w:val="es-ES"/>
              </w:rPr>
            </w:pPr>
            <w:r w:rsidRPr="005F029E">
              <w:rPr>
                <w:rFonts w:asciiTheme="minorHAnsi" w:hAnsiTheme="minorHAnsi" w:cstheme="minorHAnsi"/>
                <w:lang w:val="es-ES"/>
              </w:rPr>
              <w:t>Figura 27- Tablero de comando etapa III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149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28- Valles beneficiarios del PRSC en Patagonia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155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29- Organización del PRSC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158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30- Bloques de confusión sexual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159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lastRenderedPageBreak/>
              <w:t>Figura 31- Aportes al presupuesto del PRSC, período 2006-2010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162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32</w:t>
            </w:r>
            <w:r w:rsidRPr="00484CF6">
              <w:rPr>
                <w:rFonts w:cstheme="minorHAnsi"/>
                <w:sz w:val="22"/>
                <w:szCs w:val="22"/>
                <w:lang w:val="es-ES"/>
              </w:rPr>
              <w:t>- Uso de los fondos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162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33- Jornada institucional con monitoreadores, ATB, coordinación y CTA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166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34</w:t>
            </w:r>
            <w:r w:rsidRPr="00484CF6">
              <w:rPr>
                <w:rFonts w:cstheme="minorHAnsi"/>
                <w:sz w:val="22"/>
                <w:szCs w:val="22"/>
                <w:lang w:val="es-ES"/>
              </w:rPr>
              <w:t>- Nivel de daño alcanzado</w:t>
            </w:r>
            <w:r>
              <w:rPr>
                <w:rFonts w:cstheme="minorHAnsi"/>
                <w:sz w:val="22"/>
                <w:szCs w:val="22"/>
                <w:lang w:val="es-ES"/>
              </w:rPr>
              <w:t>, temporada 2006-2007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167</w:t>
            </w:r>
          </w:p>
        </w:tc>
      </w:tr>
      <w:tr w:rsidR="000222FE" w:rsidRPr="00484CF6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35</w:t>
            </w:r>
            <w:r w:rsidRPr="00484CF6">
              <w:rPr>
                <w:rFonts w:cstheme="minorHAnsi"/>
                <w:sz w:val="22"/>
                <w:szCs w:val="22"/>
                <w:lang w:val="es-ES"/>
              </w:rPr>
              <w:t>- Nivel de daño alcanzado</w:t>
            </w:r>
            <w:r>
              <w:rPr>
                <w:rFonts w:cstheme="minorHAnsi"/>
                <w:sz w:val="22"/>
                <w:szCs w:val="22"/>
                <w:lang w:val="es-ES"/>
              </w:rPr>
              <w:t>, temporada 2007-2008</w:t>
            </w:r>
          </w:p>
        </w:tc>
        <w:tc>
          <w:tcPr>
            <w:tcW w:w="575" w:type="dxa"/>
          </w:tcPr>
          <w:p w:rsidR="000222FE" w:rsidRPr="00484CF6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170</w:t>
            </w:r>
          </w:p>
        </w:tc>
      </w:tr>
      <w:tr w:rsidR="000222FE" w:rsidRPr="00432752" w:rsidTr="00B968D7">
        <w:tc>
          <w:tcPr>
            <w:tcW w:w="8146" w:type="dxa"/>
          </w:tcPr>
          <w:p w:rsidR="000222FE" w:rsidRPr="00484CF6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36</w:t>
            </w:r>
            <w:r w:rsidRPr="00484CF6">
              <w:rPr>
                <w:rFonts w:cstheme="minorHAnsi"/>
                <w:sz w:val="22"/>
                <w:szCs w:val="22"/>
                <w:lang w:val="es-ES"/>
              </w:rPr>
              <w:t>- Nivel de daño alcanzado</w:t>
            </w:r>
            <w:r>
              <w:rPr>
                <w:rFonts w:cstheme="minorHAnsi"/>
                <w:sz w:val="22"/>
                <w:szCs w:val="22"/>
                <w:lang w:val="es-ES"/>
              </w:rPr>
              <w:t>, temporada 2008-2009</w:t>
            </w:r>
          </w:p>
        </w:tc>
        <w:tc>
          <w:tcPr>
            <w:tcW w:w="575" w:type="dxa"/>
          </w:tcPr>
          <w:p w:rsidR="000222FE" w:rsidRPr="00432752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171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32752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37- Nivel de daño alcanzado cada año de trabajo en bloque</w:t>
            </w:r>
          </w:p>
        </w:tc>
        <w:tc>
          <w:tcPr>
            <w:tcW w:w="575" w:type="dxa"/>
          </w:tcPr>
          <w:p w:rsidR="000222FE" w:rsidRPr="00432752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171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32752" w:rsidRDefault="000222FE" w:rsidP="00B968D7">
            <w:pPr>
              <w:spacing w:after="120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Figura 38- Jornada de uso de dispensers y calibración de pulverizadoras a cargo del ATB</w:t>
            </w:r>
          </w:p>
        </w:tc>
        <w:tc>
          <w:tcPr>
            <w:tcW w:w="575" w:type="dxa"/>
          </w:tcPr>
          <w:p w:rsidR="000222FE" w:rsidRPr="00432752" w:rsidRDefault="000222FE" w:rsidP="00B968D7">
            <w:pPr>
              <w:spacing w:after="120"/>
              <w:jc w:val="right"/>
              <w:rPr>
                <w:rFonts w:cstheme="minorHAnsi"/>
                <w:lang w:val="es-ES"/>
              </w:rPr>
            </w:pPr>
            <w:r>
              <w:rPr>
                <w:rFonts w:cstheme="minorHAnsi"/>
                <w:lang w:val="es-ES"/>
              </w:rPr>
              <w:t>172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32752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39</w:t>
            </w:r>
            <w:r w:rsidRPr="00432752">
              <w:rPr>
                <w:rFonts w:cstheme="minorHAnsi"/>
                <w:sz w:val="22"/>
                <w:szCs w:val="22"/>
                <w:lang w:val="es-ES"/>
              </w:rPr>
              <w:t>- Superficie incluida en el PRSC y situación alcanzada en cada valle</w:t>
            </w:r>
          </w:p>
        </w:tc>
        <w:tc>
          <w:tcPr>
            <w:tcW w:w="575" w:type="dxa"/>
          </w:tcPr>
          <w:p w:rsidR="000222FE" w:rsidRPr="00432752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176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432752" w:rsidRDefault="000222FE" w:rsidP="00B968D7">
            <w:pPr>
              <w:spacing w:after="120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Figura 40</w:t>
            </w:r>
            <w:r w:rsidRPr="00432752">
              <w:rPr>
                <w:rFonts w:cstheme="minorHAnsi"/>
                <w:sz w:val="22"/>
                <w:szCs w:val="22"/>
                <w:lang w:val="es-ES"/>
              </w:rPr>
              <w:t>- Evolución en el uso de la TCS</w:t>
            </w:r>
          </w:p>
        </w:tc>
        <w:tc>
          <w:tcPr>
            <w:tcW w:w="575" w:type="dxa"/>
          </w:tcPr>
          <w:p w:rsidR="000222FE" w:rsidRPr="00432752" w:rsidRDefault="000222FE" w:rsidP="00B968D7">
            <w:pPr>
              <w:spacing w:after="120"/>
              <w:jc w:val="right"/>
              <w:rPr>
                <w:rFonts w:cstheme="minorHAnsi"/>
                <w:sz w:val="22"/>
                <w:szCs w:val="22"/>
                <w:lang w:val="es-ES"/>
              </w:rPr>
            </w:pPr>
            <w:r>
              <w:rPr>
                <w:rFonts w:cstheme="minorHAnsi"/>
                <w:sz w:val="22"/>
                <w:szCs w:val="22"/>
                <w:lang w:val="es-ES"/>
              </w:rPr>
              <w:t>178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Figura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41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- Tablero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de comando</w:t>
            </w:r>
            <w:r w:rsidRPr="006A079E"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etapa</w:t>
            </w: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 xml:space="preserve"> IV</w:t>
            </w: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es-ES"/>
              </w:rPr>
              <w:t>189</w:t>
            </w:r>
          </w:p>
        </w:tc>
      </w:tr>
      <w:tr w:rsidR="000222FE" w:rsidRPr="006A079E" w:rsidTr="00B968D7">
        <w:tc>
          <w:tcPr>
            <w:tcW w:w="8146" w:type="dxa"/>
          </w:tcPr>
          <w:p w:rsidR="000222FE" w:rsidRPr="006A079E" w:rsidRDefault="000222FE" w:rsidP="00B968D7">
            <w:pPr>
              <w:spacing w:after="120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  <w:tc>
          <w:tcPr>
            <w:tcW w:w="575" w:type="dxa"/>
          </w:tcPr>
          <w:p w:rsidR="000222FE" w:rsidRPr="006A079E" w:rsidRDefault="000222FE" w:rsidP="00B968D7">
            <w:pPr>
              <w:spacing w:after="120"/>
              <w:jc w:val="right"/>
              <w:rPr>
                <w:rFonts w:asciiTheme="minorHAnsi" w:hAnsiTheme="minorHAnsi" w:cstheme="minorHAnsi"/>
                <w:sz w:val="22"/>
                <w:szCs w:val="22"/>
                <w:lang w:val="es-ES"/>
              </w:rPr>
            </w:pPr>
          </w:p>
        </w:tc>
      </w:tr>
    </w:tbl>
    <w:p w:rsidR="000222FE" w:rsidRDefault="000222FE" w:rsidP="000222FE">
      <w:pPr>
        <w:rPr>
          <w:rFonts w:ascii="Cambria" w:eastAsia="Times New Roman" w:hAnsi="Cambria" w:cs="Times New Roman"/>
          <w:b/>
          <w:bCs/>
          <w:kern w:val="32"/>
          <w:sz w:val="32"/>
          <w:szCs w:val="32"/>
          <w:lang w:val="es-ES"/>
        </w:rPr>
      </w:pPr>
      <w:bookmarkStart w:id="0" w:name="_GoBack"/>
      <w:bookmarkEnd w:id="0"/>
    </w:p>
    <w:p w:rsidR="00F379F1" w:rsidRDefault="000222FE"/>
    <w:sectPr w:rsidR="00F379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2FE"/>
    <w:rsid w:val="000222FE"/>
    <w:rsid w:val="00136111"/>
    <w:rsid w:val="005E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2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22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2F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22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A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1113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Villarreal</dc:creator>
  <cp:lastModifiedBy>Patricia Villarreal</cp:lastModifiedBy>
  <cp:revision>1</cp:revision>
  <dcterms:created xsi:type="dcterms:W3CDTF">2013-11-11T14:40:00Z</dcterms:created>
  <dcterms:modified xsi:type="dcterms:W3CDTF">2013-11-11T14:41:00Z</dcterms:modified>
</cp:coreProperties>
</file>