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8D" w:rsidRDefault="00F4088D" w:rsidP="00F4088D">
      <w:pPr>
        <w:spacing w:line="256" w:lineRule="auto"/>
        <w:rPr>
          <w:rFonts w:asciiTheme="majorHAnsi" w:hAnsiTheme="majorHAnsi"/>
          <w:b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b/>
          <w:color w:val="2F5496" w:themeColor="accent1" w:themeShade="BF"/>
          <w:sz w:val="26"/>
          <w:szCs w:val="26"/>
        </w:rPr>
        <w:t>RESUMEN</w:t>
      </w:r>
    </w:p>
    <w:p w:rsidR="00F4088D" w:rsidRDefault="00F4088D" w:rsidP="00F4088D">
      <w:pPr>
        <w:pStyle w:val="Sinespaciado"/>
        <w:rPr>
          <w:rFonts w:asciiTheme="minorHAnsi" w:hAnsiTheme="minorHAnsi"/>
        </w:rPr>
      </w:pPr>
    </w:p>
    <w:p w:rsidR="00F4088D" w:rsidRDefault="00F4088D" w:rsidP="00F4088D">
      <w:pPr>
        <w:ind w:firstLine="708"/>
      </w:pPr>
      <w:r>
        <w:t xml:space="preserve">En el presente trabajo se caracterizaron </w:t>
      </w:r>
      <w:bookmarkStart w:id="0" w:name="_Hlk515000069"/>
      <w:proofErr w:type="spellStart"/>
      <w:r>
        <w:t>glicosil</w:t>
      </w:r>
      <w:proofErr w:type="spellEnd"/>
      <w:r>
        <w:t xml:space="preserve"> hidrolasas</w:t>
      </w:r>
      <w:bookmarkEnd w:id="0"/>
      <w:r>
        <w:t xml:space="preserve"> (</w:t>
      </w:r>
      <w:bookmarkStart w:id="1" w:name="_Hlk515000019"/>
      <w:proofErr w:type="spellStart"/>
      <w:r>
        <w:t>GHs</w:t>
      </w:r>
      <w:bookmarkEnd w:id="1"/>
      <w:proofErr w:type="spellEnd"/>
      <w:r>
        <w:t xml:space="preserve">) y permeasas fúngicas implicadas en el metabolismo y transporte de azúcares, con dos aplicaciones diferentes: la producción de etanol y la síntesis de </w:t>
      </w:r>
      <w:bookmarkStart w:id="2" w:name="_Hlk515000105"/>
      <w:proofErr w:type="spellStart"/>
      <w:r>
        <w:t>isomaltooligosacáridos</w:t>
      </w:r>
      <w:proofErr w:type="spellEnd"/>
      <w:r>
        <w:t xml:space="preserve"> (IMOS</w:t>
      </w:r>
      <w:bookmarkEnd w:id="2"/>
      <w:r>
        <w:t xml:space="preserve">). Se han abordado tres objetivos específicos: 1) </w:t>
      </w:r>
      <w:r w:rsidR="0039777C">
        <w:t>d</w:t>
      </w:r>
      <w:r>
        <w:t xml:space="preserve">esarrollar un proceso eficiente de </w:t>
      </w:r>
      <w:bookmarkStart w:id="3" w:name="_Hlk515000207"/>
      <w:r>
        <w:t xml:space="preserve">sacarificación y fermentación simultánea </w:t>
      </w:r>
      <w:bookmarkEnd w:id="3"/>
      <w:r>
        <w:t>(</w:t>
      </w:r>
      <w:bookmarkStart w:id="4" w:name="_Hlk515000130"/>
      <w:r>
        <w:t>SSF</w:t>
      </w:r>
      <w:bookmarkEnd w:id="4"/>
      <w:r>
        <w:t>) de celulosa</w:t>
      </w:r>
      <w:r w:rsidR="0039777C">
        <w:t>;</w:t>
      </w:r>
      <w:r>
        <w:t xml:space="preserve"> 2) </w:t>
      </w:r>
      <w:r w:rsidR="0039777C">
        <w:t>c</w:t>
      </w:r>
      <w:r>
        <w:t>omparar distintas estrategias para la fermentación de celobiosa, paso crítico en la fermentación de celulosa</w:t>
      </w:r>
      <w:r w:rsidR="0039777C">
        <w:t>;</w:t>
      </w:r>
      <w:r>
        <w:t xml:space="preserve"> 3) </w:t>
      </w:r>
      <w:r w:rsidR="0039777C">
        <w:t>s</w:t>
      </w:r>
      <w:r>
        <w:t>intetizar IMOS utilizando como material catalítico células de levadura que producen una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t>-</w:t>
      </w:r>
      <w:proofErr w:type="spellStart"/>
      <w:r>
        <w:t>glucosidasa</w:t>
      </w:r>
      <w:proofErr w:type="spellEnd"/>
      <w:r>
        <w:t xml:space="preserve"> de </w:t>
      </w:r>
      <w:r>
        <w:rPr>
          <w:i/>
        </w:rPr>
        <w:t xml:space="preserve">Aspergillus </w:t>
      </w:r>
      <w:proofErr w:type="spellStart"/>
      <w:r>
        <w:rPr>
          <w:i/>
        </w:rPr>
        <w:t>niger</w:t>
      </w:r>
      <w:proofErr w:type="spellEnd"/>
      <w:r>
        <w:t>.</w:t>
      </w:r>
    </w:p>
    <w:p w:rsidR="00F4088D" w:rsidRDefault="00F4088D" w:rsidP="00F4088D">
      <w:r>
        <w:t xml:space="preserve">En el proceso propuesto </w:t>
      </w:r>
      <w:r w:rsidR="00276106">
        <w:t xml:space="preserve">de sacarificación y fermentación simultánea </w:t>
      </w:r>
      <w:r>
        <w:t>celulosa, el material de partida (papel de filtro) se digi</w:t>
      </w:r>
      <w:r w:rsidR="00F34B28">
        <w:t>rió</w:t>
      </w:r>
      <w:r>
        <w:t xml:space="preserve"> con una preparación enzimática de </w:t>
      </w:r>
      <w:proofErr w:type="spellStart"/>
      <w:r>
        <w:rPr>
          <w:i/>
        </w:rPr>
        <w:t>Trichodema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reesei</w:t>
      </w:r>
      <w:proofErr w:type="spellEnd"/>
      <w:r>
        <w:t>, y se ferment</w:t>
      </w:r>
      <w:r w:rsidR="00F34B28">
        <w:t>ó</w:t>
      </w:r>
      <w:r>
        <w:t xml:space="preserve"> con una cepa recombinante de </w:t>
      </w:r>
      <w:proofErr w:type="spellStart"/>
      <w:r>
        <w:rPr>
          <w:i/>
        </w:rPr>
        <w:t>Saccharomyces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cerevisiae</w:t>
      </w:r>
      <w:proofErr w:type="spellEnd"/>
      <w:r>
        <w:rPr>
          <w:i/>
        </w:rPr>
        <w:t xml:space="preserve"> </w:t>
      </w:r>
      <w:r>
        <w:t xml:space="preserve">(T500) que secreta una </w:t>
      </w:r>
      <w:r>
        <w:rPr>
          <w:rFonts w:ascii="Symbol" w:hAnsi="Symbol"/>
        </w:rPr>
        <w:t></w:t>
      </w:r>
      <w:r>
        <w:t>-</w:t>
      </w:r>
      <w:proofErr w:type="spellStart"/>
      <w:r>
        <w:t>glucosidasa</w:t>
      </w:r>
      <w:proofErr w:type="spellEnd"/>
      <w:r>
        <w:t xml:space="preserve"> de </w:t>
      </w:r>
      <w:proofErr w:type="spellStart"/>
      <w:r>
        <w:rPr>
          <w:i/>
        </w:rPr>
        <w:t>Saccharomycopsis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fibuligera</w:t>
      </w:r>
      <w:proofErr w:type="spellEnd"/>
      <w:r>
        <w:t xml:space="preserve">. La actividad </w:t>
      </w:r>
      <w:r>
        <w:rPr>
          <w:rFonts w:ascii="Symbol" w:hAnsi="Symbol"/>
        </w:rPr>
        <w:t></w:t>
      </w:r>
      <w:r>
        <w:t>-</w:t>
      </w:r>
      <w:proofErr w:type="spellStart"/>
      <w:r>
        <w:t>glucosidasa</w:t>
      </w:r>
      <w:proofErr w:type="spellEnd"/>
      <w:r>
        <w:t xml:space="preserve">, deficitaria en el cóctel </w:t>
      </w:r>
      <w:proofErr w:type="spellStart"/>
      <w:r>
        <w:t>celulolítico</w:t>
      </w:r>
      <w:proofErr w:type="spellEnd"/>
      <w:r>
        <w:t xml:space="preserve"> de </w:t>
      </w:r>
      <w:r>
        <w:rPr>
          <w:i/>
        </w:rPr>
        <w:t xml:space="preserve">T. </w:t>
      </w:r>
      <w:proofErr w:type="spellStart"/>
      <w:r>
        <w:rPr>
          <w:i/>
        </w:rPr>
        <w:t>reesei</w:t>
      </w:r>
      <w:proofErr w:type="spellEnd"/>
      <w:r>
        <w:t xml:space="preserve">, </w:t>
      </w:r>
      <w:r w:rsidR="00276106">
        <w:t>mejoró</w:t>
      </w:r>
      <w:r>
        <w:t xml:space="preserve"> el progreso de la hidrólisis de la celulosa y la fermentación, ya que disminuye el efecto inhibitorio causado por la acumulación de celobiosa. Con este proceso se alcanza</w:t>
      </w:r>
      <w:r w:rsidR="00F34B28">
        <w:t>ron</w:t>
      </w:r>
      <w:r>
        <w:t xml:space="preserve"> rendimientos de etanol por encima de 70 g/L.</w:t>
      </w:r>
    </w:p>
    <w:p w:rsidR="00F4088D" w:rsidRDefault="00F4088D" w:rsidP="00F4088D">
      <w:r>
        <w:t xml:space="preserve">Se han comparado estrategias de hidrólisis extracelular o intracelular de celobiosa. Para ello, se utilizó la cepa T500 y nuevas cepas recombinantes generadas en este estudio. En una primera aproximación para la hidrólisis intracelular, se ensayaron tres </w:t>
      </w:r>
      <w:r>
        <w:rPr>
          <w:rFonts w:ascii="Symbol" w:hAnsi="Symbol"/>
        </w:rPr>
        <w:t></w:t>
      </w:r>
      <w:r>
        <w:t>-</w:t>
      </w:r>
      <w:proofErr w:type="spellStart"/>
      <w:r>
        <w:t>glucosidasas</w:t>
      </w:r>
      <w:proofErr w:type="spellEnd"/>
      <w:r>
        <w:t xml:space="preserve"> distintas y una permeasa de celobiosa de </w:t>
      </w:r>
      <w:proofErr w:type="spellStart"/>
      <w:r>
        <w:rPr>
          <w:i/>
        </w:rPr>
        <w:t>Penicillium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oxalicum</w:t>
      </w:r>
      <w:proofErr w:type="spellEnd"/>
      <w:r>
        <w:rPr>
          <w:i/>
        </w:rPr>
        <w:t xml:space="preserve">. </w:t>
      </w:r>
      <w:r>
        <w:t xml:space="preserve">En los transformantes resultantes, la tasa de crecimiento en celobiosa se vio limitada por </w:t>
      </w:r>
      <w:r>
        <w:rPr>
          <w:rFonts w:ascii="Symbol" w:hAnsi="Symbol"/>
        </w:rPr>
        <w:t></w:t>
      </w:r>
      <w:r>
        <w:t>-</w:t>
      </w:r>
      <w:proofErr w:type="spellStart"/>
      <w:r>
        <w:t>glucosidasas</w:t>
      </w:r>
      <w:proofErr w:type="spellEnd"/>
      <w:r>
        <w:t xml:space="preserve"> con baja actividad </w:t>
      </w:r>
      <w:proofErr w:type="spellStart"/>
      <w:r>
        <w:t>celobiasa</w:t>
      </w:r>
      <w:proofErr w:type="spellEnd"/>
      <w:r>
        <w:t xml:space="preserve">, pero por encima de cierto valor de actividad el principal cuello de botella fue el transporte del azúcar. Por esta razón, buscamos nuevos transportadores de celobiosa procedentes de </w:t>
      </w:r>
      <w:r>
        <w:rPr>
          <w:i/>
        </w:rPr>
        <w:t xml:space="preserve">T. </w:t>
      </w:r>
      <w:proofErr w:type="spellStart"/>
      <w:r>
        <w:rPr>
          <w:i/>
        </w:rPr>
        <w:t>reesei</w:t>
      </w:r>
      <w:proofErr w:type="spellEnd"/>
      <w:r>
        <w:t xml:space="preserve">. De 107 secuencias designadas como transportadores de azúcares en el genoma de </w:t>
      </w:r>
      <w:r>
        <w:rPr>
          <w:i/>
        </w:rPr>
        <w:t xml:space="preserve">T. </w:t>
      </w:r>
      <w:proofErr w:type="spellStart"/>
      <w:r>
        <w:rPr>
          <w:i/>
        </w:rPr>
        <w:t>reesei</w:t>
      </w:r>
      <w:proofErr w:type="spellEnd"/>
      <w:r>
        <w:t>, se seleccionaron diez por su mayor similitud de secuencia con permeasas de celobiosa de otros hongos caracterizadas funcionalmente. Solo una de ellas (</w:t>
      </w:r>
      <w:bookmarkStart w:id="5" w:name="_Hlk515000781"/>
      <w:proofErr w:type="spellStart"/>
      <w:r>
        <w:t>Tr_StrC</w:t>
      </w:r>
      <w:bookmarkEnd w:id="5"/>
      <w:proofErr w:type="spellEnd"/>
      <w:r>
        <w:t xml:space="preserve">) fue capaz de facilitar el transporte de celobiosa y permitir el crecimiento de </w:t>
      </w:r>
      <w:r>
        <w:rPr>
          <w:i/>
        </w:rPr>
        <w:t xml:space="preserve">S. </w:t>
      </w:r>
      <w:proofErr w:type="spellStart"/>
      <w:r>
        <w:rPr>
          <w:i/>
        </w:rPr>
        <w:t>cerevisiae</w:t>
      </w:r>
      <w:proofErr w:type="spellEnd"/>
      <w:r>
        <w:t>. Finalmente, se comparó la capacidad de fermentar celobiosa de los dobles transformantes de levadura, con capacidad de transportar e hidrolizar intracelularmente el disacárido, con la del transformante T500. La estrategia extracelular permitió una tasa de fermentación más rápida y mayores rendimientos de etanol en comparación con la estrategia intracelular. La cepa T500 también fue más eficiente en un sistema SSF de celulosa.</w:t>
      </w:r>
    </w:p>
    <w:p w:rsidR="00F4088D" w:rsidRDefault="00F4088D" w:rsidP="00F4088D">
      <w:r>
        <w:lastRenderedPageBreak/>
        <w:t xml:space="preserve">Se han construido y analizado cepas recombinantes de </w:t>
      </w:r>
      <w:r>
        <w:rPr>
          <w:i/>
        </w:rPr>
        <w:t xml:space="preserve">S. </w:t>
      </w:r>
      <w:proofErr w:type="spellStart"/>
      <w:r>
        <w:rPr>
          <w:i/>
        </w:rPr>
        <w:t>cerevisiae</w:t>
      </w:r>
      <w:proofErr w:type="spellEnd"/>
      <w:r>
        <w:t xml:space="preserve"> que expresan un gen (</w:t>
      </w:r>
      <w:bookmarkStart w:id="6" w:name="_Hlk515001079"/>
      <w:proofErr w:type="spellStart"/>
      <w:r>
        <w:rPr>
          <w:i/>
        </w:rPr>
        <w:t>aglA</w:t>
      </w:r>
      <w:bookmarkEnd w:id="6"/>
      <w:proofErr w:type="spellEnd"/>
      <w:r>
        <w:t xml:space="preserve">) </w:t>
      </w:r>
      <w:bookmarkStart w:id="7" w:name="_Hlk515001114"/>
      <w:r>
        <w:t xml:space="preserve">que codifica una </w:t>
      </w:r>
      <w:r>
        <w:rPr>
          <w:rFonts w:ascii="Symbol" w:hAnsi="Symbol"/>
        </w:rPr>
        <w:t></w:t>
      </w:r>
      <w:r>
        <w:t>-</w:t>
      </w:r>
      <w:proofErr w:type="spellStart"/>
      <w:r>
        <w:t>glucosidasa</w:t>
      </w:r>
      <w:proofErr w:type="spellEnd"/>
      <w:r>
        <w:t xml:space="preserve"> de </w:t>
      </w:r>
      <w:r>
        <w:rPr>
          <w:i/>
        </w:rPr>
        <w:t xml:space="preserve">A. </w:t>
      </w:r>
      <w:proofErr w:type="spellStart"/>
      <w:r>
        <w:rPr>
          <w:i/>
        </w:rPr>
        <w:t>niger</w:t>
      </w:r>
      <w:bookmarkEnd w:id="7"/>
      <w:proofErr w:type="spellEnd"/>
      <w:r>
        <w:t>. Los transformantes de levadura produ</w:t>
      </w:r>
      <w:r w:rsidR="00F34B28">
        <w:t>jeron</w:t>
      </w:r>
      <w:r>
        <w:t xml:space="preserve"> actividad </w:t>
      </w:r>
      <w:r>
        <w:rPr>
          <w:rFonts w:ascii="Symbol" w:hAnsi="Symbol"/>
        </w:rPr>
        <w:t></w:t>
      </w:r>
      <w:r>
        <w:t>-</w:t>
      </w:r>
      <w:proofErr w:type="spellStart"/>
      <w:r>
        <w:t>glucosidasa</w:t>
      </w:r>
      <w:proofErr w:type="spellEnd"/>
      <w:r>
        <w:t xml:space="preserve"> extracelular</w:t>
      </w:r>
      <w:r w:rsidR="00276106">
        <w:t>mente</w:t>
      </w:r>
      <w:r>
        <w:t xml:space="preserve">, </w:t>
      </w:r>
      <w:r w:rsidR="00F34B28">
        <w:t xml:space="preserve">la </w:t>
      </w:r>
      <w:r>
        <w:t>mitad</w:t>
      </w:r>
      <w:r w:rsidR="00F34B28">
        <w:t xml:space="preserve"> de la cual quedó</w:t>
      </w:r>
      <w:r>
        <w:t xml:space="preserve"> asociada a células y </w:t>
      </w:r>
      <w:r w:rsidR="00F34B28">
        <w:t xml:space="preserve">la otra </w:t>
      </w:r>
      <w:r>
        <w:t>mitad</w:t>
      </w:r>
      <w:r w:rsidR="00F34B28">
        <w:t xml:space="preserve"> fue</w:t>
      </w:r>
      <w:r>
        <w:t xml:space="preserve"> liberada al medio de cultivo. Usando maltosa como </w:t>
      </w:r>
      <w:r w:rsidR="00276106">
        <w:t xml:space="preserve">único </w:t>
      </w:r>
      <w:r>
        <w:t>sustrato</w:t>
      </w:r>
      <w:r w:rsidR="00276106">
        <w:t xml:space="preserve"> de partida</w:t>
      </w:r>
      <w:r>
        <w:t xml:space="preserve">, tras 8 h de incubación, el principal producto de </w:t>
      </w:r>
      <w:proofErr w:type="spellStart"/>
      <w:r>
        <w:t>transglicosilación</w:t>
      </w:r>
      <w:proofErr w:type="spellEnd"/>
      <w:r>
        <w:t xml:space="preserve"> </w:t>
      </w:r>
      <w:r w:rsidR="00F34B28">
        <w:t>fue</w:t>
      </w:r>
      <w:r>
        <w:t xml:space="preserve"> panosa, pero tras 24 h el producto predominante </w:t>
      </w:r>
      <w:r w:rsidR="00F34B28">
        <w:t>fue</w:t>
      </w:r>
      <w:r>
        <w:t xml:space="preserve"> isomaltosa. La isomaltosa también predomin</w:t>
      </w:r>
      <w:r w:rsidR="00F34B28">
        <w:t>ó</w:t>
      </w:r>
      <w:r>
        <w:t xml:space="preserve"> a tiempos cortos de reacción, si en lugar de </w:t>
      </w:r>
      <w:r w:rsidR="00276106">
        <w:t xml:space="preserve">sólo </w:t>
      </w:r>
      <w:r>
        <w:t>maltosa se utiliza</w:t>
      </w:r>
      <w:r w:rsidR="00F34B28">
        <w:t>ba</w:t>
      </w:r>
      <w:r>
        <w:t xml:space="preserve"> de partida una mezcla de maltosa y glucosa. Para facilitar la síntesis de IMOS se diseñó un proceso en el cual las células de levadura pueden ser utilizadas directamente como material catalítico. Para ello, se expresaron en </w:t>
      </w:r>
      <w:r>
        <w:rPr>
          <w:i/>
        </w:rPr>
        <w:t xml:space="preserve">S. </w:t>
      </w:r>
      <w:proofErr w:type="spellStart"/>
      <w:r>
        <w:rPr>
          <w:i/>
        </w:rPr>
        <w:t>cerevisiae</w:t>
      </w:r>
      <w:proofErr w:type="spellEnd"/>
      <w:r>
        <w:t xml:space="preserve"> construcciones génicas del gen </w:t>
      </w:r>
      <w:proofErr w:type="spellStart"/>
      <w:r>
        <w:rPr>
          <w:i/>
        </w:rPr>
        <w:t>aglA</w:t>
      </w:r>
      <w:proofErr w:type="spellEnd"/>
      <w:r>
        <w:rPr>
          <w:i/>
        </w:rPr>
        <w:t xml:space="preserve"> </w:t>
      </w:r>
      <w:r>
        <w:t xml:space="preserve">fusionado con el </w:t>
      </w:r>
      <w:bookmarkStart w:id="8" w:name="_Hlk515001267"/>
      <w:r>
        <w:t>gen de levadura</w:t>
      </w:r>
      <w:bookmarkEnd w:id="8"/>
      <w:r>
        <w:t xml:space="preserve"> </w:t>
      </w:r>
      <w:bookmarkStart w:id="9" w:name="_Hlk515001254"/>
      <w:r>
        <w:rPr>
          <w:i/>
        </w:rPr>
        <w:t>SED1</w:t>
      </w:r>
      <w:bookmarkEnd w:id="9"/>
      <w:r>
        <w:t>, en versión completa o truncada, que posee la secuencia GPI (</w:t>
      </w:r>
      <w:bookmarkStart w:id="10" w:name="_Hlk515001362"/>
      <w:proofErr w:type="spellStart"/>
      <w:r>
        <w:t>glicosilfosfatidil</w:t>
      </w:r>
      <w:proofErr w:type="spellEnd"/>
      <w:r>
        <w:t xml:space="preserve"> inositol</w:t>
      </w:r>
      <w:bookmarkEnd w:id="10"/>
      <w:r>
        <w:t xml:space="preserve">) de anclaje a pared celular. Las enzimas híbridas resultantes se fijaron de forma estable a la superficie celular. Las células provenientes de los cultivos recombinantes que expresan las construcciones </w:t>
      </w:r>
      <w:r>
        <w:rPr>
          <w:i/>
        </w:rPr>
        <w:t>aglA-SED1</w:t>
      </w:r>
      <w:r>
        <w:t xml:space="preserve"> </w:t>
      </w:r>
      <w:r w:rsidR="000D3BAE">
        <w:t>se pudieron reciclar</w:t>
      </w:r>
      <w:r>
        <w:t xml:space="preserve"> pa</w:t>
      </w:r>
      <w:bookmarkStart w:id="11" w:name="_GoBack"/>
      <w:bookmarkEnd w:id="11"/>
      <w:r>
        <w:t>ra producir IMOS en reacciones sucesivas.</w:t>
      </w:r>
    </w:p>
    <w:p w:rsidR="000778BB" w:rsidRPr="001D1B9F" w:rsidRDefault="00BE2553" w:rsidP="001D1B9F">
      <w:pPr>
        <w:spacing w:before="0" w:after="160" w:line="259" w:lineRule="auto"/>
        <w:ind w:firstLine="0"/>
        <w:jc w:val="left"/>
      </w:pPr>
      <w:r>
        <w:br w:type="page"/>
      </w:r>
    </w:p>
    <w:sectPr w:rsidR="000778BB" w:rsidRPr="001D1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8D"/>
    <w:rsid w:val="00061880"/>
    <w:rsid w:val="000778BB"/>
    <w:rsid w:val="0008295D"/>
    <w:rsid w:val="000D3BAE"/>
    <w:rsid w:val="00116A88"/>
    <w:rsid w:val="00144089"/>
    <w:rsid w:val="001D1B9F"/>
    <w:rsid w:val="00276106"/>
    <w:rsid w:val="00281A60"/>
    <w:rsid w:val="002C2C02"/>
    <w:rsid w:val="0039777C"/>
    <w:rsid w:val="0042266A"/>
    <w:rsid w:val="00597A96"/>
    <w:rsid w:val="005D5483"/>
    <w:rsid w:val="0064344F"/>
    <w:rsid w:val="00740275"/>
    <w:rsid w:val="00842107"/>
    <w:rsid w:val="00863C71"/>
    <w:rsid w:val="00887CE1"/>
    <w:rsid w:val="0090185B"/>
    <w:rsid w:val="00970305"/>
    <w:rsid w:val="009A55D5"/>
    <w:rsid w:val="009B0104"/>
    <w:rsid w:val="00BC10C0"/>
    <w:rsid w:val="00BE2553"/>
    <w:rsid w:val="00C01E2A"/>
    <w:rsid w:val="00CB2A5E"/>
    <w:rsid w:val="00D22DB5"/>
    <w:rsid w:val="00D56ECC"/>
    <w:rsid w:val="00E2481D"/>
    <w:rsid w:val="00EB71D3"/>
    <w:rsid w:val="00EC50FF"/>
    <w:rsid w:val="00F00F1C"/>
    <w:rsid w:val="00F301F3"/>
    <w:rsid w:val="00F34B28"/>
    <w:rsid w:val="00F408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26B039C"/>
  <w15:chartTrackingRefBased/>
  <w15:docId w15:val="{E6CD1963-EC3C-42E8-8D8B-920018A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88D"/>
    <w:pPr>
      <w:spacing w:before="120" w:after="120" w:line="360" w:lineRule="auto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4088D"/>
    <w:rPr>
      <w:rFonts w:ascii="Times New Roman" w:eastAsiaTheme="minorEastAsia" w:hAnsi="Times New Roman" w:cs="Times New Roman"/>
      <w:lang w:eastAsia="es-EC"/>
    </w:rPr>
  </w:style>
  <w:style w:type="paragraph" w:styleId="Sinespaciado">
    <w:name w:val="No Spacing"/>
    <w:link w:val="SinespaciadoCar"/>
    <w:uiPriority w:val="1"/>
    <w:qFormat/>
    <w:rsid w:val="00F4088D"/>
    <w:pPr>
      <w:spacing w:after="0" w:line="240" w:lineRule="auto"/>
      <w:jc w:val="center"/>
    </w:pPr>
    <w:rPr>
      <w:rFonts w:ascii="Times New Roman" w:eastAsiaTheme="minorEastAsia" w:hAnsi="Times New Roman" w:cs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CDD1-9C5D-4FD8-8738-70BF4475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maryfercasa</dc:creator>
  <cp:keywords/>
  <dc:description/>
  <cp:lastModifiedBy>maryfercasa</cp:lastModifiedBy>
  <cp:revision>4</cp:revision>
  <dcterms:created xsi:type="dcterms:W3CDTF">2018-05-30T07:09:00Z</dcterms:created>
  <dcterms:modified xsi:type="dcterms:W3CDTF">2018-05-30T07:14:00Z</dcterms:modified>
</cp:coreProperties>
</file>