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4D" w:rsidRDefault="0042734D" w:rsidP="0042734D">
      <w:pPr>
        <w:spacing w:before="160" w:after="160" w:line="288" w:lineRule="auto"/>
        <w:ind w:right="-1"/>
        <w:jc w:val="both"/>
        <w:rPr>
          <w:rFonts w:ascii="Arial" w:hAnsi="Arial" w:cs="Arial"/>
          <w:color w:val="000000"/>
          <w:sz w:val="20"/>
          <w:szCs w:val="20"/>
        </w:rPr>
      </w:pPr>
      <w:r>
        <w:rPr>
          <w:rFonts w:ascii="Arial" w:hAnsi="Arial" w:cs="Arial"/>
          <w:color w:val="000000"/>
          <w:sz w:val="20"/>
          <w:szCs w:val="20"/>
        </w:rPr>
        <w:t>La presente</w:t>
      </w:r>
      <w:r w:rsidR="00935F0E">
        <w:rPr>
          <w:rFonts w:ascii="Arial" w:hAnsi="Arial" w:cs="Arial"/>
          <w:color w:val="000000"/>
          <w:sz w:val="20"/>
          <w:szCs w:val="20"/>
        </w:rPr>
        <w:t xml:space="preserve"> tesis, </w:t>
      </w:r>
      <w:r>
        <w:rPr>
          <w:rFonts w:ascii="Arial" w:hAnsi="Arial" w:cs="Arial"/>
          <w:color w:val="000000"/>
          <w:sz w:val="20"/>
          <w:szCs w:val="20"/>
        </w:rPr>
        <w:t>realiza un importante y profundo análisis en referencia a las</w:t>
      </w:r>
      <w:r w:rsidR="004C59A5">
        <w:rPr>
          <w:rFonts w:ascii="Arial" w:hAnsi="Arial" w:cs="Arial"/>
          <w:color w:val="000000"/>
          <w:sz w:val="20"/>
          <w:szCs w:val="20"/>
        </w:rPr>
        <w:t xml:space="preserve"> nuevas políticas públicas de</w:t>
      </w:r>
      <w:r>
        <w:rPr>
          <w:rFonts w:ascii="Arial" w:hAnsi="Arial" w:cs="Arial"/>
          <w:color w:val="000000"/>
          <w:sz w:val="20"/>
          <w:szCs w:val="20"/>
        </w:rPr>
        <w:t xml:space="preserve"> </w:t>
      </w:r>
      <w:r w:rsidR="00935F0E" w:rsidRPr="008104C6">
        <w:rPr>
          <w:rFonts w:ascii="Arial" w:hAnsi="Arial" w:cs="Arial"/>
          <w:color w:val="000000"/>
          <w:sz w:val="20"/>
          <w:szCs w:val="20"/>
        </w:rPr>
        <w:t>regeneración</w:t>
      </w:r>
      <w:r w:rsidR="00935F0E">
        <w:rPr>
          <w:rFonts w:ascii="Arial" w:hAnsi="Arial" w:cs="Arial"/>
          <w:color w:val="000000"/>
          <w:sz w:val="20"/>
          <w:szCs w:val="20"/>
        </w:rPr>
        <w:t>, rehabilitación y rejuvenecimiento de la ciudad</w:t>
      </w:r>
      <w:r>
        <w:rPr>
          <w:rFonts w:ascii="Arial" w:hAnsi="Arial" w:cs="Arial"/>
          <w:color w:val="000000"/>
          <w:sz w:val="20"/>
          <w:szCs w:val="20"/>
        </w:rPr>
        <w:t xml:space="preserve">, </w:t>
      </w:r>
      <w:r w:rsidR="004C59A5">
        <w:rPr>
          <w:rFonts w:ascii="Arial" w:hAnsi="Arial" w:cs="Arial"/>
          <w:color w:val="000000"/>
          <w:sz w:val="20"/>
          <w:szCs w:val="20"/>
        </w:rPr>
        <w:t xml:space="preserve">en el contexto de las </w:t>
      </w:r>
      <w:r>
        <w:rPr>
          <w:rFonts w:ascii="Arial" w:hAnsi="Arial" w:cs="Arial"/>
          <w:color w:val="000000"/>
          <w:sz w:val="20"/>
          <w:szCs w:val="20"/>
        </w:rPr>
        <w:t>ciudades y municipios del Siglo XXI.</w:t>
      </w:r>
    </w:p>
    <w:p w:rsidR="00935F0E" w:rsidRPr="00935F0E" w:rsidRDefault="00935F0E" w:rsidP="0042734D">
      <w:pPr>
        <w:spacing w:before="160" w:after="160" w:line="288" w:lineRule="auto"/>
        <w:ind w:right="-1"/>
        <w:jc w:val="both"/>
        <w:rPr>
          <w:rFonts w:ascii="Arial" w:hAnsi="Arial" w:cs="Arial"/>
          <w:color w:val="000000"/>
          <w:sz w:val="20"/>
          <w:szCs w:val="20"/>
        </w:rPr>
      </w:pPr>
      <w:r>
        <w:rPr>
          <w:rFonts w:ascii="Arial" w:hAnsi="Arial" w:cs="Arial"/>
          <w:color w:val="000000"/>
          <w:sz w:val="20"/>
          <w:szCs w:val="20"/>
        </w:rPr>
        <w:t xml:space="preserve">En este </w:t>
      </w:r>
      <w:r w:rsidR="004C59A5">
        <w:rPr>
          <w:rFonts w:ascii="Arial" w:hAnsi="Arial" w:cs="Arial"/>
          <w:color w:val="000000"/>
          <w:sz w:val="20"/>
          <w:szCs w:val="20"/>
        </w:rPr>
        <w:t>sentido</w:t>
      </w:r>
      <w:r>
        <w:rPr>
          <w:rFonts w:ascii="Arial" w:hAnsi="Arial" w:cs="Arial"/>
          <w:color w:val="000000"/>
          <w:sz w:val="20"/>
          <w:szCs w:val="20"/>
        </w:rPr>
        <w:t xml:space="preserve">, </w:t>
      </w:r>
      <w:r w:rsidR="0042734D">
        <w:rPr>
          <w:rFonts w:ascii="Arial" w:hAnsi="Arial" w:cs="Arial"/>
          <w:color w:val="000000"/>
          <w:sz w:val="20"/>
          <w:szCs w:val="20"/>
        </w:rPr>
        <w:t>una vez, agotado</w:t>
      </w:r>
      <w:r w:rsidRPr="00935F0E">
        <w:rPr>
          <w:rFonts w:ascii="Arial" w:hAnsi="Arial" w:cs="Arial"/>
          <w:color w:val="000000"/>
          <w:sz w:val="20"/>
          <w:szCs w:val="20"/>
        </w:rPr>
        <w:t xml:space="preserve"> el modelo urbanístico derivado de la expansión y consumo del territorio, el Urbanismo contemporáneo e</w:t>
      </w:r>
      <w:r w:rsidR="0042734D">
        <w:rPr>
          <w:rFonts w:ascii="Arial" w:hAnsi="Arial" w:cs="Arial"/>
          <w:color w:val="000000"/>
          <w:sz w:val="20"/>
          <w:szCs w:val="20"/>
        </w:rPr>
        <w:t>xige de nuevos procesos de revitalización y</w:t>
      </w:r>
      <w:r w:rsidRPr="00935F0E">
        <w:rPr>
          <w:rFonts w:ascii="Arial" w:hAnsi="Arial" w:cs="Arial"/>
          <w:color w:val="000000"/>
          <w:sz w:val="20"/>
          <w:szCs w:val="20"/>
        </w:rPr>
        <w:t xml:space="preserve"> mejora </w:t>
      </w:r>
      <w:r w:rsidR="0042734D">
        <w:rPr>
          <w:rFonts w:ascii="Arial" w:hAnsi="Arial" w:cs="Arial"/>
          <w:color w:val="000000"/>
          <w:sz w:val="20"/>
          <w:szCs w:val="20"/>
        </w:rPr>
        <w:t>de la ciudad preexistente. Ahora bien, e</w:t>
      </w:r>
      <w:r w:rsidRPr="00935F0E">
        <w:rPr>
          <w:rFonts w:ascii="Arial" w:hAnsi="Arial" w:cs="Arial"/>
          <w:color w:val="000000"/>
          <w:sz w:val="20"/>
          <w:szCs w:val="20"/>
        </w:rPr>
        <w:t>stos</w:t>
      </w:r>
      <w:r w:rsidR="004C59A5">
        <w:rPr>
          <w:rFonts w:ascii="Arial" w:hAnsi="Arial" w:cs="Arial"/>
          <w:color w:val="000000"/>
          <w:sz w:val="20"/>
          <w:szCs w:val="20"/>
        </w:rPr>
        <w:t xml:space="preserve"> procesos de regeneración</w:t>
      </w:r>
      <w:r w:rsidRPr="00935F0E">
        <w:rPr>
          <w:rFonts w:ascii="Arial" w:hAnsi="Arial" w:cs="Arial"/>
          <w:color w:val="000000"/>
          <w:sz w:val="20"/>
          <w:szCs w:val="20"/>
        </w:rPr>
        <w:t xml:space="preserve"> exigen</w:t>
      </w:r>
      <w:r w:rsidR="0042734D">
        <w:rPr>
          <w:rFonts w:ascii="Arial" w:hAnsi="Arial" w:cs="Arial"/>
          <w:color w:val="000000"/>
          <w:sz w:val="20"/>
          <w:szCs w:val="20"/>
        </w:rPr>
        <w:t>,</w:t>
      </w:r>
      <w:r w:rsidRPr="00935F0E">
        <w:rPr>
          <w:rFonts w:ascii="Arial" w:hAnsi="Arial" w:cs="Arial"/>
          <w:color w:val="000000"/>
          <w:sz w:val="20"/>
          <w:szCs w:val="20"/>
        </w:rPr>
        <w:t xml:space="preserve"> importantes inve</w:t>
      </w:r>
      <w:r w:rsidR="004C59A5">
        <w:rPr>
          <w:rFonts w:ascii="Arial" w:hAnsi="Arial" w:cs="Arial"/>
          <w:color w:val="000000"/>
          <w:sz w:val="20"/>
          <w:szCs w:val="20"/>
        </w:rPr>
        <w:t>rsiones econó</w:t>
      </w:r>
      <w:r w:rsidR="00BE281F">
        <w:rPr>
          <w:rFonts w:ascii="Arial" w:hAnsi="Arial" w:cs="Arial"/>
          <w:color w:val="000000"/>
          <w:sz w:val="20"/>
          <w:szCs w:val="20"/>
        </w:rPr>
        <w:t>micas e imprescindib</w:t>
      </w:r>
      <w:r w:rsidR="004C59A5">
        <w:rPr>
          <w:rFonts w:ascii="Arial" w:hAnsi="Arial" w:cs="Arial"/>
          <w:color w:val="000000"/>
          <w:sz w:val="20"/>
          <w:szCs w:val="20"/>
        </w:rPr>
        <w:t>les</w:t>
      </w:r>
      <w:r w:rsidRPr="00935F0E">
        <w:rPr>
          <w:rFonts w:ascii="Arial" w:hAnsi="Arial" w:cs="Arial"/>
          <w:color w:val="000000"/>
          <w:sz w:val="20"/>
          <w:szCs w:val="20"/>
        </w:rPr>
        <w:t xml:space="preserve"> esfuerzos presupuestarios por parte de las Administraciones que no deben proceder necesariamente de las finanzas públicas.</w:t>
      </w:r>
    </w:p>
    <w:p w:rsidR="00BE281F" w:rsidRDefault="004C59A5" w:rsidP="0042734D">
      <w:pPr>
        <w:spacing w:before="160" w:after="160" w:line="288" w:lineRule="auto"/>
        <w:ind w:right="-1"/>
        <w:jc w:val="both"/>
        <w:rPr>
          <w:rFonts w:ascii="Arial" w:hAnsi="Arial" w:cs="Arial"/>
          <w:color w:val="000000"/>
          <w:sz w:val="20"/>
          <w:szCs w:val="20"/>
        </w:rPr>
      </w:pPr>
      <w:r>
        <w:rPr>
          <w:rFonts w:ascii="Arial" w:hAnsi="Arial" w:cs="Arial"/>
          <w:color w:val="000000"/>
          <w:sz w:val="20"/>
          <w:szCs w:val="20"/>
        </w:rPr>
        <w:t>Es cierto que l</w:t>
      </w:r>
      <w:r w:rsidR="0042734D" w:rsidRPr="00935F0E">
        <w:rPr>
          <w:rFonts w:ascii="Arial" w:hAnsi="Arial" w:cs="Arial"/>
          <w:color w:val="000000"/>
          <w:sz w:val="20"/>
          <w:szCs w:val="20"/>
        </w:rPr>
        <w:t xml:space="preserve">a tradición de los países de la Europa Occidental así como </w:t>
      </w:r>
      <w:r w:rsidR="00BE281F">
        <w:rPr>
          <w:rFonts w:ascii="Arial" w:hAnsi="Arial" w:cs="Arial"/>
          <w:color w:val="000000"/>
          <w:sz w:val="20"/>
          <w:szCs w:val="20"/>
        </w:rPr>
        <w:t xml:space="preserve">de Estados Unidos, </w:t>
      </w:r>
      <w:r w:rsidR="0042734D" w:rsidRPr="00935F0E">
        <w:rPr>
          <w:rFonts w:ascii="Arial" w:hAnsi="Arial" w:cs="Arial"/>
          <w:color w:val="000000"/>
          <w:sz w:val="20"/>
          <w:szCs w:val="20"/>
        </w:rPr>
        <w:t>siguen optando por la financiación pública en las grandes inversiones de revi</w:t>
      </w:r>
      <w:r w:rsidR="0042734D">
        <w:rPr>
          <w:rFonts w:ascii="Arial" w:hAnsi="Arial" w:cs="Arial"/>
          <w:color w:val="000000"/>
          <w:sz w:val="20"/>
          <w:szCs w:val="20"/>
        </w:rPr>
        <w:t>talización de las ciudades siend</w:t>
      </w:r>
      <w:r w:rsidR="0042734D" w:rsidRPr="00935F0E">
        <w:rPr>
          <w:rFonts w:ascii="Arial" w:hAnsi="Arial" w:cs="Arial"/>
          <w:color w:val="000000"/>
          <w:sz w:val="20"/>
          <w:szCs w:val="20"/>
        </w:rPr>
        <w:t>o hasta la fecha la participación del Sector Privado simplemente testimonial.</w:t>
      </w:r>
      <w:r w:rsidR="00BE281F">
        <w:rPr>
          <w:rFonts w:ascii="Arial" w:hAnsi="Arial" w:cs="Arial"/>
          <w:color w:val="000000"/>
          <w:sz w:val="20"/>
          <w:szCs w:val="20"/>
        </w:rPr>
        <w:t xml:space="preserve"> </w:t>
      </w:r>
    </w:p>
    <w:p w:rsidR="0042734D" w:rsidRDefault="00BE281F" w:rsidP="0042734D">
      <w:pPr>
        <w:spacing w:before="160" w:after="160" w:line="288" w:lineRule="auto"/>
        <w:ind w:right="-1"/>
        <w:jc w:val="both"/>
        <w:rPr>
          <w:rFonts w:ascii="Arial" w:hAnsi="Arial" w:cs="Arial"/>
          <w:color w:val="000000"/>
          <w:sz w:val="20"/>
          <w:szCs w:val="20"/>
        </w:rPr>
      </w:pPr>
      <w:r>
        <w:rPr>
          <w:rFonts w:ascii="Arial" w:hAnsi="Arial" w:cs="Arial"/>
          <w:color w:val="000000"/>
          <w:sz w:val="20"/>
          <w:szCs w:val="20"/>
        </w:rPr>
        <w:t>Pero no obstante, e</w:t>
      </w:r>
      <w:r w:rsidR="0042734D">
        <w:rPr>
          <w:rFonts w:ascii="Arial" w:hAnsi="Arial" w:cs="Arial"/>
          <w:color w:val="000000"/>
          <w:sz w:val="20"/>
          <w:szCs w:val="20"/>
        </w:rPr>
        <w:t>n este nuevo escenario, l</w:t>
      </w:r>
      <w:r w:rsidR="0042734D" w:rsidRPr="00935F0E">
        <w:rPr>
          <w:rFonts w:ascii="Arial" w:hAnsi="Arial" w:cs="Arial"/>
          <w:color w:val="000000"/>
          <w:sz w:val="20"/>
          <w:szCs w:val="20"/>
        </w:rPr>
        <w:t>a colaboración público-privada se constituye como pieza clave para</w:t>
      </w:r>
      <w:r w:rsidR="0042734D">
        <w:rPr>
          <w:rFonts w:ascii="Arial" w:hAnsi="Arial" w:cs="Arial"/>
          <w:color w:val="000000"/>
          <w:sz w:val="20"/>
          <w:szCs w:val="20"/>
        </w:rPr>
        <w:t xml:space="preserve"> controlar el déficit público, </w:t>
      </w:r>
      <w:r w:rsidR="0042734D" w:rsidRPr="00935F0E">
        <w:rPr>
          <w:rFonts w:ascii="Arial" w:hAnsi="Arial" w:cs="Arial"/>
          <w:color w:val="000000"/>
          <w:sz w:val="20"/>
          <w:szCs w:val="20"/>
        </w:rPr>
        <w:t>atraer capital y relanzar el sector inmobiliario</w:t>
      </w:r>
      <w:r w:rsidR="0042734D">
        <w:rPr>
          <w:rFonts w:ascii="Arial" w:hAnsi="Arial" w:cs="Arial"/>
          <w:color w:val="000000"/>
          <w:sz w:val="20"/>
          <w:szCs w:val="20"/>
        </w:rPr>
        <w:t xml:space="preserve">, por lo que todo este </w:t>
      </w:r>
      <w:r w:rsidR="0042734D" w:rsidRPr="00935F0E">
        <w:rPr>
          <w:rFonts w:ascii="Arial" w:hAnsi="Arial" w:cs="Arial"/>
          <w:color w:val="000000"/>
          <w:sz w:val="20"/>
          <w:szCs w:val="20"/>
        </w:rPr>
        <w:t>tipo de actuaciones exige</w:t>
      </w:r>
      <w:r w:rsidR="0042734D">
        <w:rPr>
          <w:rFonts w:ascii="Arial" w:hAnsi="Arial" w:cs="Arial"/>
          <w:color w:val="000000"/>
          <w:sz w:val="20"/>
          <w:szCs w:val="20"/>
        </w:rPr>
        <w:t>n</w:t>
      </w:r>
      <w:r w:rsidR="0042734D" w:rsidRPr="00935F0E">
        <w:rPr>
          <w:rFonts w:ascii="Arial" w:hAnsi="Arial" w:cs="Arial"/>
          <w:color w:val="000000"/>
          <w:sz w:val="20"/>
          <w:szCs w:val="20"/>
        </w:rPr>
        <w:t xml:space="preserve"> un</w:t>
      </w:r>
      <w:r w:rsidR="0042734D">
        <w:rPr>
          <w:rFonts w:ascii="Arial" w:hAnsi="Arial" w:cs="Arial"/>
          <w:color w:val="000000"/>
          <w:sz w:val="20"/>
          <w:szCs w:val="20"/>
        </w:rPr>
        <w:t>os</w:t>
      </w:r>
      <w:r w:rsidR="0042734D" w:rsidRPr="00935F0E">
        <w:rPr>
          <w:rFonts w:ascii="Arial" w:hAnsi="Arial" w:cs="Arial"/>
          <w:color w:val="000000"/>
          <w:sz w:val="20"/>
          <w:szCs w:val="20"/>
        </w:rPr>
        <w:t xml:space="preserve"> marco</w:t>
      </w:r>
      <w:r w:rsidR="0042734D">
        <w:rPr>
          <w:rFonts w:ascii="Arial" w:hAnsi="Arial" w:cs="Arial"/>
          <w:color w:val="000000"/>
          <w:sz w:val="20"/>
          <w:szCs w:val="20"/>
        </w:rPr>
        <w:t>s</w:t>
      </w:r>
      <w:r w:rsidR="0042734D" w:rsidRPr="00935F0E">
        <w:rPr>
          <w:rFonts w:ascii="Arial" w:hAnsi="Arial" w:cs="Arial"/>
          <w:color w:val="000000"/>
          <w:sz w:val="20"/>
          <w:szCs w:val="20"/>
        </w:rPr>
        <w:t xml:space="preserve"> </w:t>
      </w:r>
      <w:r w:rsidR="0042734D">
        <w:rPr>
          <w:rFonts w:ascii="Arial" w:hAnsi="Arial" w:cs="Arial"/>
          <w:color w:val="000000"/>
          <w:sz w:val="20"/>
          <w:szCs w:val="20"/>
        </w:rPr>
        <w:t>jurídico</w:t>
      </w:r>
      <w:r>
        <w:rPr>
          <w:rFonts w:ascii="Arial" w:hAnsi="Arial" w:cs="Arial"/>
          <w:color w:val="000000"/>
          <w:sz w:val="20"/>
          <w:szCs w:val="20"/>
        </w:rPr>
        <w:t>s</w:t>
      </w:r>
      <w:r w:rsidR="0042734D">
        <w:rPr>
          <w:rFonts w:ascii="Arial" w:hAnsi="Arial" w:cs="Arial"/>
          <w:color w:val="000000"/>
          <w:sz w:val="20"/>
          <w:szCs w:val="20"/>
        </w:rPr>
        <w:t xml:space="preserve"> y financieros </w:t>
      </w:r>
      <w:r w:rsidR="0042734D" w:rsidRPr="00935F0E">
        <w:rPr>
          <w:rFonts w:ascii="Arial" w:hAnsi="Arial" w:cs="Arial"/>
          <w:color w:val="000000"/>
          <w:sz w:val="20"/>
          <w:szCs w:val="20"/>
        </w:rPr>
        <w:t>atractivo</w:t>
      </w:r>
      <w:r w:rsidR="0042734D">
        <w:rPr>
          <w:rFonts w:ascii="Arial" w:hAnsi="Arial" w:cs="Arial"/>
          <w:color w:val="000000"/>
          <w:sz w:val="20"/>
          <w:szCs w:val="20"/>
        </w:rPr>
        <w:t>s</w:t>
      </w:r>
      <w:r w:rsidR="0042734D" w:rsidRPr="00935F0E">
        <w:rPr>
          <w:rFonts w:ascii="Arial" w:hAnsi="Arial" w:cs="Arial"/>
          <w:color w:val="000000"/>
          <w:sz w:val="20"/>
          <w:szCs w:val="20"/>
        </w:rPr>
        <w:t xml:space="preserve"> y favorable</w:t>
      </w:r>
      <w:r w:rsidR="0042734D">
        <w:rPr>
          <w:rFonts w:ascii="Arial" w:hAnsi="Arial" w:cs="Arial"/>
          <w:color w:val="000000"/>
          <w:sz w:val="20"/>
          <w:szCs w:val="20"/>
        </w:rPr>
        <w:t>s</w:t>
      </w:r>
      <w:r w:rsidR="0042734D" w:rsidRPr="00935F0E">
        <w:rPr>
          <w:rFonts w:ascii="Arial" w:hAnsi="Arial" w:cs="Arial"/>
          <w:color w:val="000000"/>
          <w:sz w:val="20"/>
          <w:szCs w:val="20"/>
        </w:rPr>
        <w:t xml:space="preserve"> para el Sector privado, </w:t>
      </w:r>
      <w:r>
        <w:rPr>
          <w:rFonts w:ascii="Arial" w:hAnsi="Arial" w:cs="Arial"/>
          <w:color w:val="000000"/>
          <w:sz w:val="20"/>
          <w:szCs w:val="20"/>
        </w:rPr>
        <w:t>que deben percibir</w:t>
      </w:r>
      <w:r w:rsidR="0042734D">
        <w:rPr>
          <w:rFonts w:ascii="Arial" w:hAnsi="Arial" w:cs="Arial"/>
          <w:color w:val="000000"/>
          <w:sz w:val="20"/>
          <w:szCs w:val="20"/>
        </w:rPr>
        <w:t xml:space="preserve"> unes condiciones </w:t>
      </w:r>
      <w:r w:rsidR="0042734D" w:rsidRPr="00935F0E">
        <w:rPr>
          <w:rFonts w:ascii="Arial" w:hAnsi="Arial" w:cs="Arial"/>
          <w:color w:val="000000"/>
          <w:sz w:val="20"/>
          <w:szCs w:val="20"/>
        </w:rPr>
        <w:t xml:space="preserve">de confianza y seguridad que garantice la rentabilidad de </w:t>
      </w:r>
      <w:r w:rsidR="0042734D">
        <w:rPr>
          <w:rFonts w:ascii="Arial" w:hAnsi="Arial" w:cs="Arial"/>
          <w:color w:val="000000"/>
          <w:sz w:val="20"/>
          <w:szCs w:val="20"/>
        </w:rPr>
        <w:t>sus operaciones.</w:t>
      </w:r>
    </w:p>
    <w:p w:rsidR="00BE281F" w:rsidRDefault="00BE281F" w:rsidP="0042734D">
      <w:pPr>
        <w:spacing w:before="160" w:after="160" w:line="288" w:lineRule="auto"/>
        <w:ind w:right="-1"/>
        <w:jc w:val="both"/>
        <w:rPr>
          <w:rFonts w:ascii="Arial" w:hAnsi="Arial" w:cs="Arial"/>
          <w:color w:val="000000"/>
          <w:sz w:val="20"/>
          <w:szCs w:val="20"/>
        </w:rPr>
      </w:pPr>
      <w:r>
        <w:rPr>
          <w:rFonts w:ascii="Arial" w:hAnsi="Arial" w:cs="Arial"/>
          <w:color w:val="000000"/>
          <w:sz w:val="20"/>
          <w:szCs w:val="20"/>
        </w:rPr>
        <w:t>Sin perjuicio de esta situación de partida, adquieren mayor relevancia si cabe, las nuevas técnicas urbanísticas de gestión de la ciudad consolidada incorporadas tanto en la Ley 8/2013, en las conocidas como Actuaciones sobre el medio urbano incorporadas con posterioridad al Texto Refundido de la Ley del Suelo 7/2015 de 30 de octubre, como las innovaciones que la mayor parte de Comunidades Autónomas incorpora en las clásicas herramientas de las transferencias, reservas de aprovechamiento con las actuaciones de cambios de usos, incrementos de edificabilidad o aumentos de la densidad edificatoria.</w:t>
      </w:r>
    </w:p>
    <w:p w:rsidR="00935F0E" w:rsidRPr="00935F0E" w:rsidRDefault="00BE281F" w:rsidP="0042734D">
      <w:pPr>
        <w:spacing w:before="160" w:after="160" w:line="288" w:lineRule="auto"/>
        <w:ind w:right="-1"/>
        <w:jc w:val="both"/>
        <w:rPr>
          <w:rFonts w:ascii="Arial" w:hAnsi="Arial" w:cs="Arial"/>
          <w:color w:val="000000"/>
          <w:sz w:val="20"/>
          <w:szCs w:val="20"/>
        </w:rPr>
      </w:pPr>
      <w:r>
        <w:rPr>
          <w:rFonts w:ascii="Arial" w:hAnsi="Arial" w:cs="Arial"/>
          <w:color w:val="000000"/>
          <w:sz w:val="20"/>
          <w:szCs w:val="20"/>
        </w:rPr>
        <w:t>Por ello, f</w:t>
      </w:r>
      <w:r w:rsidR="00935F0E" w:rsidRPr="00935F0E">
        <w:rPr>
          <w:rFonts w:ascii="Arial" w:hAnsi="Arial" w:cs="Arial"/>
          <w:color w:val="000000"/>
          <w:sz w:val="20"/>
          <w:szCs w:val="20"/>
        </w:rPr>
        <w:t>rente a las Actuaciones Sistemáticas o los Programas de Actuación Integrada, como instrumentos de gestión característicos y propios de las dos últimas décadas, las Actuaciones Aisladas o Edificatorias se constituyen como las intervenciones protagonistas en el nuevo marco de la gestión del suelo urbano.</w:t>
      </w:r>
    </w:p>
    <w:p w:rsidR="00A12B76" w:rsidRDefault="00935F0E" w:rsidP="00252327">
      <w:pPr>
        <w:spacing w:before="160" w:after="160" w:line="288" w:lineRule="auto"/>
        <w:ind w:right="-1"/>
        <w:jc w:val="both"/>
        <w:rPr>
          <w:rFonts w:ascii="Arial" w:hAnsi="Arial" w:cs="Arial"/>
          <w:color w:val="000000"/>
          <w:sz w:val="20"/>
          <w:szCs w:val="20"/>
        </w:rPr>
      </w:pPr>
      <w:r w:rsidRPr="00935F0E">
        <w:rPr>
          <w:rFonts w:ascii="Arial" w:hAnsi="Arial" w:cs="Arial"/>
          <w:color w:val="000000"/>
          <w:sz w:val="20"/>
          <w:szCs w:val="20"/>
        </w:rPr>
        <w:t>La autofinanciación de las operaciones de reforma interior a través de las plusvalías urbanísticas responde a una aspiración irrealizable pero que al menos debe ser considerada como el principio informador en cualquier proceso de gestión del suelo. En este sentido, los Estudios de Viabilidad deben constituirse como piezas claves en cualquier proceso de Rehabilitación y mejora de</w:t>
      </w:r>
      <w:r w:rsidR="00A12B76">
        <w:rPr>
          <w:rFonts w:ascii="Arial" w:hAnsi="Arial" w:cs="Arial"/>
          <w:color w:val="000000"/>
          <w:sz w:val="20"/>
          <w:szCs w:val="20"/>
        </w:rPr>
        <w:t xml:space="preserve"> los tejidos urbanos existentes.</w:t>
      </w:r>
    </w:p>
    <w:p w:rsidR="00252327" w:rsidRDefault="00252327" w:rsidP="00252327">
      <w:pPr>
        <w:spacing w:before="160" w:after="160" w:line="288" w:lineRule="auto"/>
        <w:ind w:right="-1"/>
        <w:jc w:val="both"/>
        <w:rPr>
          <w:rFonts w:ascii="Arial" w:hAnsi="Arial" w:cs="Arial"/>
          <w:color w:val="000000"/>
          <w:sz w:val="20"/>
          <w:szCs w:val="20"/>
        </w:rPr>
      </w:pPr>
      <w:r>
        <w:rPr>
          <w:rFonts w:ascii="Arial" w:hAnsi="Arial" w:cs="Arial"/>
          <w:color w:val="000000"/>
          <w:sz w:val="20"/>
          <w:szCs w:val="20"/>
        </w:rPr>
        <w:t xml:space="preserve">La tesis, finalmente aborda en un extenso capítulo, </w:t>
      </w:r>
      <w:r w:rsidR="008136BD">
        <w:rPr>
          <w:rFonts w:ascii="Arial" w:hAnsi="Arial" w:cs="Arial"/>
          <w:color w:val="000000"/>
          <w:sz w:val="20"/>
          <w:szCs w:val="20"/>
        </w:rPr>
        <w:t>un estudio</w:t>
      </w:r>
      <w:r>
        <w:rPr>
          <w:rFonts w:ascii="Arial" w:hAnsi="Arial" w:cs="Arial"/>
          <w:color w:val="000000"/>
          <w:sz w:val="20"/>
          <w:szCs w:val="20"/>
        </w:rPr>
        <w:t xml:space="preserve"> de </w:t>
      </w:r>
      <w:r w:rsidR="008136BD">
        <w:rPr>
          <w:rFonts w:ascii="Arial" w:hAnsi="Arial" w:cs="Arial"/>
          <w:color w:val="000000"/>
          <w:sz w:val="20"/>
          <w:szCs w:val="20"/>
        </w:rPr>
        <w:t>los antecedentes históricos de la Reforma Interior realizados durante el Siglo XIX hasta la época actual, tanto desde el punto de vista de los precedentes de las primeras normas estatales dictadas al efecto, intensificándose la investigación en el caso particular de Valencia.</w:t>
      </w:r>
    </w:p>
    <w:p w:rsidR="00252327" w:rsidRPr="00252327" w:rsidRDefault="00252327" w:rsidP="00252327">
      <w:pPr>
        <w:spacing w:before="160" w:after="160" w:line="288" w:lineRule="auto"/>
        <w:ind w:right="-1"/>
        <w:jc w:val="both"/>
        <w:rPr>
          <w:rFonts w:ascii="Arial" w:hAnsi="Arial" w:cs="Arial"/>
          <w:color w:val="000000"/>
          <w:sz w:val="20"/>
          <w:szCs w:val="20"/>
        </w:rPr>
      </w:pPr>
      <w:r>
        <w:rPr>
          <w:rFonts w:ascii="Arial" w:hAnsi="Arial" w:cs="Arial"/>
          <w:color w:val="000000"/>
          <w:sz w:val="20"/>
          <w:szCs w:val="20"/>
        </w:rPr>
        <w:t xml:space="preserve">No podría olvidarse que </w:t>
      </w:r>
      <w:r w:rsidRPr="00252327">
        <w:rPr>
          <w:rFonts w:ascii="Arial" w:hAnsi="Arial" w:cs="Arial"/>
          <w:color w:val="000000"/>
          <w:sz w:val="20"/>
          <w:szCs w:val="20"/>
        </w:rPr>
        <w:t>el peso de la historia y la riqueza de su patrimonio arquitectónico y artístico han contribuido a que Valencia, se haya constituido como uno de los referentes tanto en el proceso de regeneración urbana como en su expansión y Ensanche.</w:t>
      </w:r>
    </w:p>
    <w:p w:rsidR="00252327" w:rsidRPr="00935F0E" w:rsidRDefault="00252327" w:rsidP="00252327">
      <w:pPr>
        <w:spacing w:before="160" w:after="160" w:line="288" w:lineRule="auto"/>
        <w:ind w:right="-1"/>
        <w:jc w:val="both"/>
        <w:rPr>
          <w:rFonts w:ascii="Arial" w:hAnsi="Arial" w:cs="Arial"/>
          <w:color w:val="000000"/>
          <w:sz w:val="20"/>
          <w:szCs w:val="20"/>
        </w:rPr>
      </w:pPr>
    </w:p>
    <w:sectPr w:rsidR="00252327" w:rsidRPr="00935F0E" w:rsidSect="00186D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F0E"/>
    <w:rsid w:val="00006ADB"/>
    <w:rsid w:val="0003125A"/>
    <w:rsid w:val="00056A76"/>
    <w:rsid w:val="00082450"/>
    <w:rsid w:val="000F61B9"/>
    <w:rsid w:val="001057EC"/>
    <w:rsid w:val="001576C7"/>
    <w:rsid w:val="001639E7"/>
    <w:rsid w:val="00182A33"/>
    <w:rsid w:val="00186D21"/>
    <w:rsid w:val="001C02B5"/>
    <w:rsid w:val="001C4EA7"/>
    <w:rsid w:val="001C7C7E"/>
    <w:rsid w:val="00202297"/>
    <w:rsid w:val="00241A85"/>
    <w:rsid w:val="00252327"/>
    <w:rsid w:val="00271D8F"/>
    <w:rsid w:val="002A4115"/>
    <w:rsid w:val="0037201B"/>
    <w:rsid w:val="0042734D"/>
    <w:rsid w:val="004512E5"/>
    <w:rsid w:val="004C59A5"/>
    <w:rsid w:val="004D6FFF"/>
    <w:rsid w:val="00514116"/>
    <w:rsid w:val="0051532F"/>
    <w:rsid w:val="0063164A"/>
    <w:rsid w:val="006C798E"/>
    <w:rsid w:val="008136BD"/>
    <w:rsid w:val="008C0CAE"/>
    <w:rsid w:val="008E4151"/>
    <w:rsid w:val="009021D7"/>
    <w:rsid w:val="00910001"/>
    <w:rsid w:val="00932529"/>
    <w:rsid w:val="00935F0E"/>
    <w:rsid w:val="00A12B76"/>
    <w:rsid w:val="00B3056E"/>
    <w:rsid w:val="00B85147"/>
    <w:rsid w:val="00BC6B34"/>
    <w:rsid w:val="00BE281F"/>
    <w:rsid w:val="00C67500"/>
    <w:rsid w:val="00DE7498"/>
    <w:rsid w:val="00F47A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0E"/>
    <w:rPr>
      <w:rFonts w:ascii="Perpetua" w:eastAsia="Times New Roman" w:hAnsi="Perpetu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dc:creator>
  <cp:keywords/>
  <dc:description/>
  <cp:lastModifiedBy>Jordi</cp:lastModifiedBy>
  <cp:revision>2</cp:revision>
  <dcterms:created xsi:type="dcterms:W3CDTF">2015-12-09T16:12:00Z</dcterms:created>
  <dcterms:modified xsi:type="dcterms:W3CDTF">2015-12-09T20:55:00Z</dcterms:modified>
</cp:coreProperties>
</file>